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80"/>
      </w:pPr>
      <w:r>
        <w:rPr>
          <w:rFonts w:ascii="Aptos Display" w:hAnsi="Aptos Display"/>
          <w:b/>
          <w:color w:val="3157F6"/>
          <w:sz w:val="112"/>
        </w:rPr>
        <w:t>K</w:t>
      </w:r>
    </w:p>
    <w:p>
      <w:pPr>
        <w:pStyle w:val="Title"/>
      </w:pPr>
      <w:r>
        <w:t>Kualifi Brand Guidelines</w:t>
      </w:r>
    </w:p>
    <w:p>
      <w:pPr>
        <w:pStyle w:val="Subtitle"/>
      </w:pPr>
      <w:r>
        <w:rPr>
          <w:color w:val="667085"/>
        </w:rPr>
        <w:t>Identity, messaging and application standards</w:t>
      </w:r>
    </w:p>
    <w:p>
      <w:pPr>
        <w:spacing w:before="360"/>
      </w:pPr>
      <w:r>
        <w:rPr>
          <w:b/>
          <w:color w:val="0C9B8E"/>
          <w:sz w:val="30"/>
        </w:rPr>
        <w:t>Making ESG readiness achievable.</w:t>
      </w:r>
    </w:p>
    <w:p>
      <w:pPr>
        <w:pStyle w:val="Caption"/>
      </w:pPr>
      <w:r>
        <w:t>Version 1.3  •  July 2026</w:t>
      </w:r>
    </w:p>
    <w:p>
      <w:r>
        <w:br w:type="page"/>
      </w:r>
    </w:p>
    <w:p>
      <w:pPr>
        <w:pStyle w:val="Heading1"/>
      </w:pPr>
      <w:r>
        <w:t>1. Brand foundation</w:t>
      </w:r>
    </w:p>
    <w:p>
      <w:r>
        <w:t>Kualifi helps SMEs prepare for ESG assessment, maintain readiness and report progress without having to interpret every requirement alone.</w:t>
      </w:r>
    </w:p>
    <w:tbl>
      <w:tblPr>
        <w:tblW w:type="auto" w:w="0"/>
        <w:jc w:val="center"/>
        <w:tblLayout w:type="fixed"/>
        <w:tblLook w:firstColumn="1" w:firstRow="1" w:lastColumn="0" w:lastRow="0" w:noHBand="0" w:noVBand="1" w:val="04A0"/>
      </w:tblPr>
      <w:tblGrid>
        <w:gridCol w:w="4802"/>
        <w:gridCol w:w="4802"/>
      </w:tblGrid>
      <w:tr>
        <w:tc>
          <w:tcPr>
            <w:tcW w:type="dxa" w:w="4802"/>
            <w:shd w:fill="0B1739"/>
            <w:tcMar>
              <w:top w:w="110" w:type="dxa"/>
              <w:start w:w="130" w:type="dxa"/>
              <w:bottom w:w="110" w:type="dxa"/>
              <w:end w:w="130" w:type="dxa"/>
            </w:tcMar>
          </w:tcPr>
          <w:p>
            <w:r>
              <w:rPr>
                <w:b/>
                <w:color w:val="FFFFFF"/>
              </w:rPr>
              <w:t>Element</w:t>
            </w:r>
          </w:p>
        </w:tc>
        <w:tc>
          <w:tcPr>
            <w:tcW w:type="dxa" w:w="4802"/>
            <w:shd w:fill="0B1739"/>
            <w:tcMar>
              <w:top w:w="110" w:type="dxa"/>
              <w:start w:w="130" w:type="dxa"/>
              <w:bottom w:w="110" w:type="dxa"/>
              <w:end w:w="130" w:type="dxa"/>
            </w:tcMar>
          </w:tcPr>
          <w:p>
            <w:r>
              <w:rPr>
                <w:b/>
                <w:color w:val="FFFFFF"/>
              </w:rPr>
              <w:t>Approved expression</w:t>
            </w:r>
          </w:p>
        </w:tc>
      </w:tr>
      <w:tr>
        <w:tc>
          <w:tcPr>
            <w:tcW w:type="dxa" w:w="4802"/>
            <w:tcMar>
              <w:top w:w="110" w:type="dxa"/>
              <w:start w:w="130" w:type="dxa"/>
              <w:bottom w:w="110" w:type="dxa"/>
              <w:end w:w="130" w:type="dxa"/>
            </w:tcMar>
            <w:vAlign w:val="center"/>
          </w:tcPr>
          <w:p>
            <w:r>
              <w:t>Purpose</w:t>
            </w:r>
          </w:p>
        </w:tc>
        <w:tc>
          <w:tcPr>
            <w:tcW w:type="dxa" w:w="4802"/>
            <w:tcMar>
              <w:top w:w="110" w:type="dxa"/>
              <w:start w:w="130" w:type="dxa"/>
              <w:bottom w:w="110" w:type="dxa"/>
              <w:end w:w="130" w:type="dxa"/>
            </w:tcMar>
            <w:vAlign w:val="center"/>
          </w:tcPr>
          <w:p>
            <w:r>
              <w:t>Ease the path for SMEs to compete and grow through affordable ESG readiness.</w:t>
            </w:r>
          </w:p>
        </w:tc>
      </w:tr>
      <w:tr>
        <w:tc>
          <w:tcPr>
            <w:tcW w:type="dxa" w:w="4802"/>
            <w:tcMar>
              <w:top w:w="110" w:type="dxa"/>
              <w:start w:w="130" w:type="dxa"/>
              <w:bottom w:w="110" w:type="dxa"/>
              <w:end w:w="130" w:type="dxa"/>
            </w:tcMar>
            <w:vAlign w:val="center"/>
            <w:shd w:fill="EEF2FF"/>
          </w:tcPr>
          <w:p>
            <w:r>
              <w:t>Promise</w:t>
            </w:r>
          </w:p>
        </w:tc>
        <w:tc>
          <w:tcPr>
            <w:tcW w:type="dxa" w:w="4802"/>
            <w:tcMar>
              <w:top w:w="110" w:type="dxa"/>
              <w:start w:w="130" w:type="dxa"/>
              <w:bottom w:w="110" w:type="dxa"/>
              <w:end w:w="130" w:type="dxa"/>
            </w:tcMar>
            <w:vAlign w:val="center"/>
            <w:shd w:fill="EEF2FF"/>
          </w:tcPr>
          <w:p>
            <w:r>
              <w:t>Kualifi makes ESG readiness simpler, more affordable and easier to maintain.</w:t>
            </w:r>
          </w:p>
        </w:tc>
      </w:tr>
      <w:tr>
        <w:tc>
          <w:tcPr>
            <w:tcW w:type="dxa" w:w="4802"/>
            <w:tcMar>
              <w:top w:w="110" w:type="dxa"/>
              <w:start w:w="130" w:type="dxa"/>
              <w:bottom w:w="110" w:type="dxa"/>
              <w:end w:w="130" w:type="dxa"/>
            </w:tcMar>
            <w:vAlign w:val="center"/>
          </w:tcPr>
          <w:p>
            <w:r>
              <w:t>Positioning</w:t>
            </w:r>
          </w:p>
        </w:tc>
        <w:tc>
          <w:tcPr>
            <w:tcW w:type="dxa" w:w="4802"/>
            <w:tcMar>
              <w:top w:w="110" w:type="dxa"/>
              <w:start w:w="130" w:type="dxa"/>
              <w:bottom w:w="110" w:type="dxa"/>
              <w:end w:w="130" w:type="dxa"/>
            </w:tcMar>
            <w:vAlign w:val="center"/>
          </w:tcPr>
          <w:p>
            <w:r>
              <w:t>An ESG readiness, monitoring and reporting platform for SMEs.</w:t>
            </w:r>
          </w:p>
        </w:tc>
      </w:tr>
      <w:tr>
        <w:tc>
          <w:tcPr>
            <w:tcW w:type="dxa" w:w="4802"/>
            <w:tcMar>
              <w:top w:w="110" w:type="dxa"/>
              <w:start w:w="130" w:type="dxa"/>
              <w:bottom w:w="110" w:type="dxa"/>
              <w:end w:w="130" w:type="dxa"/>
            </w:tcMar>
            <w:vAlign w:val="center"/>
            <w:shd w:fill="EEF2FF"/>
          </w:tcPr>
          <w:p>
            <w:r>
              <w:t>Tagline</w:t>
            </w:r>
          </w:p>
        </w:tc>
        <w:tc>
          <w:tcPr>
            <w:tcW w:type="dxa" w:w="4802"/>
            <w:tcMar>
              <w:top w:w="110" w:type="dxa"/>
              <w:start w:w="130" w:type="dxa"/>
              <w:bottom w:w="110" w:type="dxa"/>
              <w:end w:w="130" w:type="dxa"/>
            </w:tcMar>
            <w:vAlign w:val="center"/>
            <w:shd w:fill="EEF2FF"/>
          </w:tcPr>
          <w:p>
            <w:r>
              <w:t>Making ESG readiness achievable.</w:t>
            </w:r>
          </w:p>
        </w:tc>
      </w:tr>
      <w:tr>
        <w:tc>
          <w:tcPr>
            <w:tcW w:type="dxa" w:w="4802"/>
            <w:tcMar>
              <w:top w:w="110" w:type="dxa"/>
              <w:start w:w="130" w:type="dxa"/>
              <w:bottom w:w="110" w:type="dxa"/>
              <w:end w:w="130" w:type="dxa"/>
            </w:tcMar>
            <w:vAlign w:val="center"/>
          </w:tcPr>
          <w:p>
            <w:r>
              <w:t>Primary audience</w:t>
            </w:r>
          </w:p>
        </w:tc>
        <w:tc>
          <w:tcPr>
            <w:tcW w:type="dxa" w:w="4802"/>
            <w:tcMar>
              <w:top w:w="110" w:type="dxa"/>
              <w:start w:w="130" w:type="dxa"/>
              <w:bottom w:w="110" w:type="dxa"/>
              <w:end w:w="130" w:type="dxa"/>
            </w:tcMar>
            <w:vAlign w:val="center"/>
          </w:tcPr>
          <w:p>
            <w:r>
              <w:t>SME owners and CEOs; supported users include sustainability, operations and HR teams and consultants.</w:t>
            </w:r>
          </w:p>
        </w:tc>
      </w:tr>
      <w:tr>
        <w:tc>
          <w:tcPr>
            <w:tcW w:type="dxa" w:w="4802"/>
            <w:tcMar>
              <w:top w:w="110" w:type="dxa"/>
              <w:start w:w="130" w:type="dxa"/>
              <w:bottom w:w="110" w:type="dxa"/>
              <w:end w:w="130" w:type="dxa"/>
            </w:tcMar>
            <w:vAlign w:val="center"/>
            <w:shd w:fill="EEF2FF"/>
          </w:tcPr>
          <w:p>
            <w:r>
              <w:t>Five-year direction</w:t>
            </w:r>
          </w:p>
        </w:tc>
        <w:tc>
          <w:tcPr>
            <w:tcW w:type="dxa" w:w="4802"/>
            <w:tcMar>
              <w:top w:w="110" w:type="dxa"/>
              <w:start w:w="130" w:type="dxa"/>
              <w:bottom w:w="110" w:type="dxa"/>
              <w:end w:w="130" w:type="dxa"/>
            </w:tcMar>
            <w:vAlign w:val="center"/>
            <w:shd w:fill="EEF2FF"/>
          </w:tcPr>
          <w:p>
            <w:r>
              <w:t>Support multiple certifications and produce credible information for purchasers, banks and other stakeholders.</w:t>
            </w:r>
          </w:p>
        </w:tc>
      </w:tr>
    </w:tbl>
    <w:p>
      <w:pPr>
        <w:pStyle w:val="Heading1"/>
      </w:pPr>
      <w:r>
        <w:t>2. Positioning statement</w:t>
      </w:r>
    </w:p>
    <w:p>
      <w:r>
        <w:t>For SMEs that need to respond to growing ESG expectations, Kualifi is an ESG readiness, monitoring and reporting platform that translates complex requirements into guided questions, practical actions, evidence tracking and timely reminders. Unlike document-heavy consulting engagements or generic reporting tools, Kualifi combines affordable self-service software with optional expert support to help businesses prepare for independent assessment and remain ready over time.</w:t>
      </w:r>
    </w:p>
    <w:p>
      <w:pPr>
        <w:pStyle w:val="Heading1"/>
      </w:pPr>
      <w:r>
        <w:t>3. Brand personality</w:t>
      </w:r>
    </w:p>
    <w:tbl>
      <w:tblPr>
        <w:tblW w:type="auto" w:w="0"/>
        <w:jc w:val="center"/>
        <w:tblLayout w:type="fixed"/>
        <w:tblLook w:firstColumn="1" w:firstRow="1" w:lastColumn="0" w:lastRow="0" w:noHBand="0" w:noVBand="1" w:val="04A0"/>
      </w:tblPr>
      <w:tblGrid>
        <w:gridCol w:w="3202"/>
        <w:gridCol w:w="3202"/>
        <w:gridCol w:w="3202"/>
      </w:tblGrid>
      <w:tr>
        <w:tc>
          <w:tcPr>
            <w:tcW w:type="dxa" w:w="3202"/>
            <w:shd w:fill="0B1739"/>
            <w:tcMar>
              <w:top w:w="110" w:type="dxa"/>
              <w:start w:w="130" w:type="dxa"/>
              <w:bottom w:w="110" w:type="dxa"/>
              <w:end w:w="130" w:type="dxa"/>
            </w:tcMar>
          </w:tcPr>
          <w:p>
            <w:r>
              <w:rPr>
                <w:b/>
                <w:color w:val="FFFFFF"/>
              </w:rPr>
              <w:t>Trait</w:t>
            </w:r>
          </w:p>
        </w:tc>
        <w:tc>
          <w:tcPr>
            <w:tcW w:type="dxa" w:w="3202"/>
            <w:shd w:fill="0B1739"/>
            <w:tcMar>
              <w:top w:w="110" w:type="dxa"/>
              <w:start w:w="130" w:type="dxa"/>
              <w:bottom w:w="110" w:type="dxa"/>
              <w:end w:w="130" w:type="dxa"/>
            </w:tcMar>
          </w:tcPr>
          <w:p>
            <w:r>
              <w:rPr>
                <w:b/>
                <w:color w:val="FFFFFF"/>
              </w:rPr>
              <w:t>How it appears</w:t>
            </w:r>
          </w:p>
        </w:tc>
        <w:tc>
          <w:tcPr>
            <w:tcW w:type="dxa" w:w="3202"/>
            <w:shd w:fill="0B1739"/>
            <w:tcMar>
              <w:top w:w="110" w:type="dxa"/>
              <w:start w:w="130" w:type="dxa"/>
              <w:bottom w:w="110" w:type="dxa"/>
              <w:end w:w="130" w:type="dxa"/>
            </w:tcMar>
          </w:tcPr>
          <w:p>
            <w:r>
              <w:rPr>
                <w:b/>
                <w:color w:val="FFFFFF"/>
              </w:rPr>
              <w:t>Avoid</w:t>
            </w:r>
          </w:p>
        </w:tc>
      </w:tr>
      <w:tr>
        <w:tc>
          <w:tcPr>
            <w:tcW w:type="dxa" w:w="3202"/>
            <w:tcMar>
              <w:top w:w="110" w:type="dxa"/>
              <w:start w:w="130" w:type="dxa"/>
              <w:bottom w:w="110" w:type="dxa"/>
              <w:end w:w="130" w:type="dxa"/>
            </w:tcMar>
            <w:vAlign w:val="center"/>
          </w:tcPr>
          <w:p>
            <w:r>
              <w:t>Credible</w:t>
            </w:r>
          </w:p>
        </w:tc>
        <w:tc>
          <w:tcPr>
            <w:tcW w:type="dxa" w:w="3202"/>
            <w:tcMar>
              <w:top w:w="110" w:type="dxa"/>
              <w:start w:w="130" w:type="dxa"/>
              <w:bottom w:w="110" w:type="dxa"/>
              <w:end w:w="130" w:type="dxa"/>
            </w:tcMar>
            <w:vAlign w:val="center"/>
          </w:tcPr>
          <w:p>
            <w:r>
              <w:t>Specific, evidence-led and transparent</w:t>
            </w:r>
          </w:p>
        </w:tc>
        <w:tc>
          <w:tcPr>
            <w:tcW w:type="dxa" w:w="3202"/>
            <w:tcMar>
              <w:top w:w="110" w:type="dxa"/>
              <w:start w:w="130" w:type="dxa"/>
              <w:bottom w:w="110" w:type="dxa"/>
              <w:end w:w="130" w:type="dxa"/>
            </w:tcMar>
            <w:vAlign w:val="center"/>
          </w:tcPr>
          <w:p>
            <w:r>
              <w:t>Unqualified certification claims</w:t>
            </w:r>
          </w:p>
        </w:tc>
      </w:tr>
      <w:tr>
        <w:tc>
          <w:tcPr>
            <w:tcW w:type="dxa" w:w="3202"/>
            <w:tcMar>
              <w:top w:w="110" w:type="dxa"/>
              <w:start w:w="130" w:type="dxa"/>
              <w:bottom w:w="110" w:type="dxa"/>
              <w:end w:w="130" w:type="dxa"/>
            </w:tcMar>
            <w:vAlign w:val="center"/>
            <w:shd w:fill="EEF2FF"/>
          </w:tcPr>
          <w:p>
            <w:r>
              <w:t>Empowering</w:t>
            </w:r>
          </w:p>
        </w:tc>
        <w:tc>
          <w:tcPr>
            <w:tcW w:type="dxa" w:w="3202"/>
            <w:tcMar>
              <w:top w:w="110" w:type="dxa"/>
              <w:start w:w="130" w:type="dxa"/>
              <w:bottom w:w="110" w:type="dxa"/>
              <w:end w:w="130" w:type="dxa"/>
            </w:tcMar>
            <w:vAlign w:val="center"/>
            <w:shd w:fill="EEF2FF"/>
          </w:tcPr>
          <w:p>
            <w:r>
              <w:t>Clear next steps and visible progress</w:t>
            </w:r>
          </w:p>
        </w:tc>
        <w:tc>
          <w:tcPr>
            <w:tcW w:type="dxa" w:w="3202"/>
            <w:tcMar>
              <w:top w:w="110" w:type="dxa"/>
              <w:start w:w="130" w:type="dxa"/>
              <w:bottom w:w="110" w:type="dxa"/>
              <w:end w:w="130" w:type="dxa"/>
            </w:tcMar>
            <w:vAlign w:val="center"/>
            <w:shd w:fill="EEF2FF"/>
          </w:tcPr>
          <w:p>
            <w:r>
              <w:t>Fear-based compliance language</w:t>
            </w:r>
          </w:p>
        </w:tc>
      </w:tr>
      <w:tr>
        <w:tc>
          <w:tcPr>
            <w:tcW w:type="dxa" w:w="3202"/>
            <w:tcMar>
              <w:top w:w="110" w:type="dxa"/>
              <w:start w:w="130" w:type="dxa"/>
              <w:bottom w:w="110" w:type="dxa"/>
              <w:end w:w="130" w:type="dxa"/>
            </w:tcMar>
            <w:vAlign w:val="center"/>
          </w:tcPr>
          <w:p>
            <w:r>
              <w:t>Intelligent</w:t>
            </w:r>
          </w:p>
        </w:tc>
        <w:tc>
          <w:tcPr>
            <w:tcW w:type="dxa" w:w="3202"/>
            <w:tcMar>
              <w:top w:w="110" w:type="dxa"/>
              <w:start w:w="130" w:type="dxa"/>
              <w:bottom w:w="110" w:type="dxa"/>
              <w:end w:w="130" w:type="dxa"/>
            </w:tcMar>
            <w:vAlign w:val="center"/>
          </w:tcPr>
          <w:p>
            <w:r>
              <w:t>Complexity translated into useful guidance</w:t>
            </w:r>
          </w:p>
        </w:tc>
        <w:tc>
          <w:tcPr>
            <w:tcW w:type="dxa" w:w="3202"/>
            <w:tcMar>
              <w:top w:w="110" w:type="dxa"/>
              <w:start w:w="130" w:type="dxa"/>
              <w:bottom w:w="110" w:type="dxa"/>
              <w:end w:w="130" w:type="dxa"/>
            </w:tcMar>
            <w:vAlign w:val="center"/>
          </w:tcPr>
          <w:p>
            <w:r>
              <w:t>Jargon or showing off expertise</w:t>
            </w:r>
          </w:p>
        </w:tc>
      </w:tr>
      <w:tr>
        <w:tc>
          <w:tcPr>
            <w:tcW w:type="dxa" w:w="3202"/>
            <w:tcMar>
              <w:top w:w="110" w:type="dxa"/>
              <w:start w:w="130" w:type="dxa"/>
              <w:bottom w:w="110" w:type="dxa"/>
              <w:end w:w="130" w:type="dxa"/>
            </w:tcMar>
            <w:vAlign w:val="center"/>
            <w:shd w:fill="EEF2FF"/>
          </w:tcPr>
          <w:p>
            <w:r>
              <w:t>Progressive</w:t>
            </w:r>
          </w:p>
        </w:tc>
        <w:tc>
          <w:tcPr>
            <w:tcW w:type="dxa" w:w="3202"/>
            <w:tcMar>
              <w:top w:w="110" w:type="dxa"/>
              <w:start w:w="130" w:type="dxa"/>
              <w:bottom w:w="110" w:type="dxa"/>
              <w:end w:w="130" w:type="dxa"/>
            </w:tcMar>
            <w:vAlign w:val="center"/>
            <w:shd w:fill="EEF2FF"/>
          </w:tcPr>
          <w:p>
            <w:r>
              <w:t>Optimistic, digital and forward-looking</w:t>
            </w:r>
          </w:p>
        </w:tc>
        <w:tc>
          <w:tcPr>
            <w:tcW w:type="dxa" w:w="3202"/>
            <w:tcMar>
              <w:top w:w="110" w:type="dxa"/>
              <w:start w:w="130" w:type="dxa"/>
              <w:bottom w:w="110" w:type="dxa"/>
              <w:end w:w="130" w:type="dxa"/>
            </w:tcMar>
            <w:vAlign w:val="center"/>
            <w:shd w:fill="EEF2FF"/>
          </w:tcPr>
          <w:p>
            <w:r>
              <w:t>Trend-chasing or “AI” theatre</w:t>
            </w:r>
          </w:p>
        </w:tc>
      </w:tr>
      <w:tr>
        <w:tc>
          <w:tcPr>
            <w:tcW w:type="dxa" w:w="3202"/>
            <w:tcMar>
              <w:top w:w="110" w:type="dxa"/>
              <w:start w:w="130" w:type="dxa"/>
              <w:bottom w:w="110" w:type="dxa"/>
              <w:end w:w="130" w:type="dxa"/>
            </w:tcMar>
            <w:vAlign w:val="center"/>
          </w:tcPr>
          <w:p>
            <w:r>
              <w:t>Premium + practical</w:t>
            </w:r>
          </w:p>
        </w:tc>
        <w:tc>
          <w:tcPr>
            <w:tcW w:type="dxa" w:w="3202"/>
            <w:tcMar>
              <w:top w:w="110" w:type="dxa"/>
              <w:start w:w="130" w:type="dxa"/>
              <w:bottom w:w="110" w:type="dxa"/>
              <w:end w:w="130" w:type="dxa"/>
            </w:tcMar>
            <w:vAlign w:val="center"/>
          </w:tcPr>
          <w:p>
            <w:r>
              <w:t>Polished but accessible</w:t>
            </w:r>
          </w:p>
        </w:tc>
        <w:tc>
          <w:tcPr>
            <w:tcW w:type="dxa" w:w="3202"/>
            <w:tcMar>
              <w:top w:w="110" w:type="dxa"/>
              <w:start w:w="130" w:type="dxa"/>
              <w:bottom w:w="110" w:type="dxa"/>
              <w:end w:w="130" w:type="dxa"/>
            </w:tcMar>
            <w:vAlign w:val="center"/>
          </w:tcPr>
          <w:p>
            <w:r>
              <w:t>Luxury cues or bureaucratic formality</w:t>
            </w:r>
          </w:p>
        </w:tc>
      </w:tr>
      <w:tr>
        <w:tc>
          <w:tcPr>
            <w:tcW w:type="dxa" w:w="3202"/>
            <w:tcMar>
              <w:top w:w="110" w:type="dxa"/>
              <w:start w:w="130" w:type="dxa"/>
              <w:bottom w:w="110" w:type="dxa"/>
              <w:end w:w="130" w:type="dxa"/>
            </w:tcMar>
            <w:vAlign w:val="center"/>
            <w:shd w:fill="EEF2FF"/>
          </w:tcPr>
          <w:p>
            <w:r>
              <w:t>Bold</w:t>
            </w:r>
          </w:p>
        </w:tc>
        <w:tc>
          <w:tcPr>
            <w:tcW w:type="dxa" w:w="3202"/>
            <w:tcMar>
              <w:top w:w="110" w:type="dxa"/>
              <w:start w:w="130" w:type="dxa"/>
              <w:bottom w:w="110" w:type="dxa"/>
              <w:end w:w="130" w:type="dxa"/>
            </w:tcMar>
            <w:vAlign w:val="center"/>
            <w:shd w:fill="EEF2FF"/>
          </w:tcPr>
          <w:p>
            <w:r>
              <w:t>Direct headlines and confident colour</w:t>
            </w:r>
          </w:p>
        </w:tc>
        <w:tc>
          <w:tcPr>
            <w:tcW w:type="dxa" w:w="3202"/>
            <w:tcMar>
              <w:top w:w="110" w:type="dxa"/>
              <w:start w:w="130" w:type="dxa"/>
              <w:bottom w:w="110" w:type="dxa"/>
              <w:end w:w="130" w:type="dxa"/>
            </w:tcMar>
            <w:vAlign w:val="center"/>
            <w:shd w:fill="EEF2FF"/>
          </w:tcPr>
          <w:p>
            <w:r>
              <w:t>Aggressive promises</w:t>
            </w:r>
          </w:p>
        </w:tc>
      </w:tr>
    </w:tbl>
    <w:p>
      <w:pPr>
        <w:pStyle w:val="Heading1"/>
      </w:pPr>
      <w:r>
        <w:t>4. Logo system</w:t>
      </w:r>
    </w:p>
    <w:p>
      <w:r>
        <w:t>The K symbol combines a guided path with a bright checkpoint. The dot represents a visible milestone; the structured geometry communicates rigour while rounded terminals keep the system approachable.</w:t>
      </w:r>
    </w:p>
    <w:p>
      <w:r>
        <w:t>Use the primary horizontal lockup whenever space permits. Use the standalone K only when the brand is already identified, such as the favicon, app navigation or social avatar.</w:t>
      </w:r>
    </w:p>
    <w:p>
      <w:pPr>
        <w:pStyle w:val="Heading2"/>
      </w:pPr>
      <w:r>
        <w:t>Protected space and minimum size</w:t>
      </w:r>
    </w:p>
    <w:p>
      <w:r>
        <w:t>Maintain clear space equal to the diameter of the checkpoint dot on every side. Minimum lockup size: 120 px digital or 32 mm print. Minimum standalone mark: 24 px digital or 8 mm print.</w:t>
      </w:r>
    </w:p>
    <w:p>
      <w:pPr>
        <w:pStyle w:val="Heading1"/>
      </w:pPr>
      <w:r>
        <w:t>5. Colour</w:t>
      </w:r>
    </w:p>
    <w:tbl>
      <w:tblPr>
        <w:tblW w:type="auto" w:w="0"/>
        <w:jc w:val="center"/>
        <w:tblLayout w:type="fixed"/>
        <w:tblLook w:firstColumn="1" w:firstRow="1" w:lastColumn="0" w:lastRow="0" w:noHBand="0" w:noVBand="1" w:val="04A0"/>
      </w:tblPr>
      <w:tblGrid>
        <w:gridCol w:w="3202"/>
        <w:gridCol w:w="3202"/>
        <w:gridCol w:w="3202"/>
      </w:tblGrid>
      <w:tr>
        <w:tc>
          <w:tcPr>
            <w:tcW w:type="dxa" w:w="3202"/>
            <w:shd w:fill="0B1739"/>
            <w:tcMar>
              <w:top w:w="110" w:type="dxa"/>
              <w:start w:w="130" w:type="dxa"/>
              <w:bottom w:w="110" w:type="dxa"/>
              <w:end w:w="130" w:type="dxa"/>
            </w:tcMar>
          </w:tcPr>
          <w:p>
            <w:r>
              <w:rPr>
                <w:b/>
                <w:color w:val="FFFFFF"/>
              </w:rPr>
              <w:t>Token</w:t>
            </w:r>
          </w:p>
        </w:tc>
        <w:tc>
          <w:tcPr>
            <w:tcW w:type="dxa" w:w="3202"/>
            <w:shd w:fill="0B1739"/>
            <w:tcMar>
              <w:top w:w="110" w:type="dxa"/>
              <w:start w:w="130" w:type="dxa"/>
              <w:bottom w:w="110" w:type="dxa"/>
              <w:end w:w="130" w:type="dxa"/>
            </w:tcMar>
          </w:tcPr>
          <w:p>
            <w:r>
              <w:rPr>
                <w:b/>
                <w:color w:val="FFFFFF"/>
              </w:rPr>
              <w:t>HEX</w:t>
            </w:r>
          </w:p>
        </w:tc>
        <w:tc>
          <w:tcPr>
            <w:tcW w:type="dxa" w:w="3202"/>
            <w:shd w:fill="0B1739"/>
            <w:tcMar>
              <w:top w:w="110" w:type="dxa"/>
              <w:start w:w="130" w:type="dxa"/>
              <w:bottom w:w="110" w:type="dxa"/>
              <w:end w:w="130" w:type="dxa"/>
            </w:tcMar>
          </w:tcPr>
          <w:p>
            <w:r>
              <w:rPr>
                <w:b/>
                <w:color w:val="FFFFFF"/>
              </w:rPr>
              <w:t>Role</w:t>
            </w:r>
          </w:p>
        </w:tc>
      </w:tr>
      <w:tr>
        <w:tc>
          <w:tcPr>
            <w:tcW w:type="dxa" w:w="3202"/>
            <w:tcMar>
              <w:top w:w="110" w:type="dxa"/>
              <w:start w:w="130" w:type="dxa"/>
              <w:bottom w:w="110" w:type="dxa"/>
              <w:end w:w="130" w:type="dxa"/>
            </w:tcMar>
            <w:vAlign w:val="center"/>
          </w:tcPr>
          <w:p>
            <w:r>
              <w:t>Kualifi Navy</w:t>
            </w:r>
          </w:p>
        </w:tc>
        <w:tc>
          <w:tcPr>
            <w:tcW w:type="dxa" w:w="3202"/>
            <w:tcMar>
              <w:top w:w="110" w:type="dxa"/>
              <w:start w:w="130" w:type="dxa"/>
              <w:bottom w:w="110" w:type="dxa"/>
              <w:end w:w="130" w:type="dxa"/>
            </w:tcMar>
            <w:vAlign w:val="center"/>
          </w:tcPr>
          <w:p>
            <w:r>
              <w:t>#0B1739</w:t>
            </w:r>
          </w:p>
        </w:tc>
        <w:tc>
          <w:tcPr>
            <w:tcW w:type="dxa" w:w="3202"/>
            <w:tcMar>
              <w:top w:w="110" w:type="dxa"/>
              <w:start w:w="130" w:type="dxa"/>
              <w:bottom w:w="110" w:type="dxa"/>
              <w:end w:w="130" w:type="dxa"/>
            </w:tcMar>
            <w:vAlign w:val="center"/>
          </w:tcPr>
          <w:p>
            <w:r>
              <w:t>Primary wordmark, headings, dark backgrounds</w:t>
            </w:r>
          </w:p>
        </w:tc>
      </w:tr>
      <w:tr>
        <w:tc>
          <w:tcPr>
            <w:tcW w:type="dxa" w:w="3202"/>
            <w:tcMar>
              <w:top w:w="110" w:type="dxa"/>
              <w:start w:w="130" w:type="dxa"/>
              <w:bottom w:w="110" w:type="dxa"/>
              <w:end w:w="130" w:type="dxa"/>
            </w:tcMar>
            <w:vAlign w:val="center"/>
            <w:shd w:fill="EEF2FF"/>
          </w:tcPr>
          <w:p>
            <w:r>
              <w:t>Momentum Cobalt</w:t>
            </w:r>
          </w:p>
        </w:tc>
        <w:tc>
          <w:tcPr>
            <w:tcW w:type="dxa" w:w="3202"/>
            <w:tcMar>
              <w:top w:w="110" w:type="dxa"/>
              <w:start w:w="130" w:type="dxa"/>
              <w:bottom w:w="110" w:type="dxa"/>
              <w:end w:w="130" w:type="dxa"/>
            </w:tcMar>
            <w:vAlign w:val="center"/>
            <w:shd w:fill="EEF2FF"/>
          </w:tcPr>
          <w:p>
            <w:r>
              <w:t>#3157F6</w:t>
            </w:r>
          </w:p>
        </w:tc>
        <w:tc>
          <w:tcPr>
            <w:tcW w:type="dxa" w:w="3202"/>
            <w:tcMar>
              <w:top w:w="110" w:type="dxa"/>
              <w:start w:w="130" w:type="dxa"/>
              <w:bottom w:w="110" w:type="dxa"/>
              <w:end w:w="130" w:type="dxa"/>
            </w:tcMar>
            <w:vAlign w:val="center"/>
            <w:shd w:fill="EEF2FF"/>
          </w:tcPr>
          <w:p>
            <w:r>
              <w:t>Primary actions, links, product guidance</w:t>
            </w:r>
          </w:p>
        </w:tc>
      </w:tr>
      <w:tr>
        <w:tc>
          <w:tcPr>
            <w:tcW w:type="dxa" w:w="3202"/>
            <w:tcMar>
              <w:top w:w="110" w:type="dxa"/>
              <w:start w:w="130" w:type="dxa"/>
              <w:bottom w:w="110" w:type="dxa"/>
              <w:end w:w="130" w:type="dxa"/>
            </w:tcMar>
            <w:vAlign w:val="center"/>
          </w:tcPr>
          <w:p>
            <w:r>
              <w:t>Progress Lime</w:t>
            </w:r>
          </w:p>
        </w:tc>
        <w:tc>
          <w:tcPr>
            <w:tcW w:type="dxa" w:w="3202"/>
            <w:tcMar>
              <w:top w:w="110" w:type="dxa"/>
              <w:start w:w="130" w:type="dxa"/>
              <w:bottom w:w="110" w:type="dxa"/>
              <w:end w:w="130" w:type="dxa"/>
            </w:tcMar>
            <w:vAlign w:val="center"/>
          </w:tcPr>
          <w:p>
            <w:r>
              <w:t>#B7F34A</w:t>
            </w:r>
          </w:p>
        </w:tc>
        <w:tc>
          <w:tcPr>
            <w:tcW w:type="dxa" w:w="3202"/>
            <w:tcMar>
              <w:top w:w="110" w:type="dxa"/>
              <w:start w:w="130" w:type="dxa"/>
              <w:bottom w:w="110" w:type="dxa"/>
              <w:end w:w="130" w:type="dxa"/>
            </w:tcMar>
            <w:vAlign w:val="center"/>
          </w:tcPr>
          <w:p>
            <w:r>
              <w:t>Milestones, selected states, sparing emphasis</w:t>
            </w:r>
          </w:p>
        </w:tc>
      </w:tr>
      <w:tr>
        <w:tc>
          <w:tcPr>
            <w:tcW w:type="dxa" w:w="3202"/>
            <w:tcMar>
              <w:top w:w="110" w:type="dxa"/>
              <w:start w:w="130" w:type="dxa"/>
              <w:bottom w:w="110" w:type="dxa"/>
              <w:end w:w="130" w:type="dxa"/>
            </w:tcMar>
            <w:vAlign w:val="center"/>
            <w:shd w:fill="EEF2FF"/>
          </w:tcPr>
          <w:p>
            <w:r>
              <w:t>Readiness Teal</w:t>
            </w:r>
          </w:p>
        </w:tc>
        <w:tc>
          <w:tcPr>
            <w:tcW w:type="dxa" w:w="3202"/>
            <w:tcMar>
              <w:top w:w="110" w:type="dxa"/>
              <w:start w:w="130" w:type="dxa"/>
              <w:bottom w:w="110" w:type="dxa"/>
              <w:end w:w="130" w:type="dxa"/>
            </w:tcMar>
            <w:vAlign w:val="center"/>
            <w:shd w:fill="EEF2FF"/>
          </w:tcPr>
          <w:p>
            <w:r>
              <w:t>#0C9B8E</w:t>
            </w:r>
          </w:p>
        </w:tc>
        <w:tc>
          <w:tcPr>
            <w:tcW w:type="dxa" w:w="3202"/>
            <w:tcMar>
              <w:top w:w="110" w:type="dxa"/>
              <w:start w:w="130" w:type="dxa"/>
              <w:bottom w:w="110" w:type="dxa"/>
              <w:end w:w="130" w:type="dxa"/>
            </w:tcMar>
            <w:vAlign w:val="center"/>
            <w:shd w:fill="EEF2FF"/>
          </w:tcPr>
          <w:p>
            <w:r>
              <w:t>Positive status and ESG/data accent</w:t>
            </w:r>
          </w:p>
        </w:tc>
      </w:tr>
      <w:tr>
        <w:tc>
          <w:tcPr>
            <w:tcW w:type="dxa" w:w="3202"/>
            <w:tcMar>
              <w:top w:w="110" w:type="dxa"/>
              <w:start w:w="130" w:type="dxa"/>
              <w:bottom w:w="110" w:type="dxa"/>
              <w:end w:w="130" w:type="dxa"/>
            </w:tcMar>
            <w:vAlign w:val="center"/>
          </w:tcPr>
          <w:p>
            <w:r>
              <w:t>Warm Canvas</w:t>
            </w:r>
          </w:p>
        </w:tc>
        <w:tc>
          <w:tcPr>
            <w:tcW w:type="dxa" w:w="3202"/>
            <w:tcMar>
              <w:top w:w="110" w:type="dxa"/>
              <w:start w:w="130" w:type="dxa"/>
              <w:bottom w:w="110" w:type="dxa"/>
              <w:end w:w="130" w:type="dxa"/>
            </w:tcMar>
            <w:vAlign w:val="center"/>
          </w:tcPr>
          <w:p>
            <w:r>
              <w:t>#F7F5EF</w:t>
            </w:r>
          </w:p>
        </w:tc>
        <w:tc>
          <w:tcPr>
            <w:tcW w:type="dxa" w:w="3202"/>
            <w:tcMar>
              <w:top w:w="110" w:type="dxa"/>
              <w:start w:w="130" w:type="dxa"/>
              <w:bottom w:w="110" w:type="dxa"/>
              <w:end w:w="130" w:type="dxa"/>
            </w:tcMar>
            <w:vAlign w:val="center"/>
          </w:tcPr>
          <w:p>
            <w:r>
              <w:t>Human, approachable page background</w:t>
            </w:r>
          </w:p>
        </w:tc>
      </w:tr>
      <w:tr>
        <w:tc>
          <w:tcPr>
            <w:tcW w:type="dxa" w:w="3202"/>
            <w:tcMar>
              <w:top w:w="110" w:type="dxa"/>
              <w:start w:w="130" w:type="dxa"/>
              <w:bottom w:w="110" w:type="dxa"/>
              <w:end w:w="130" w:type="dxa"/>
            </w:tcMar>
            <w:vAlign w:val="center"/>
            <w:shd w:fill="EEF2FF"/>
          </w:tcPr>
          <w:p>
            <w:r>
              <w:t>Kualifi Ink</w:t>
            </w:r>
          </w:p>
        </w:tc>
        <w:tc>
          <w:tcPr>
            <w:tcW w:type="dxa" w:w="3202"/>
            <w:tcMar>
              <w:top w:w="110" w:type="dxa"/>
              <w:start w:w="130" w:type="dxa"/>
              <w:bottom w:w="110" w:type="dxa"/>
              <w:end w:w="130" w:type="dxa"/>
            </w:tcMar>
            <w:vAlign w:val="center"/>
            <w:shd w:fill="EEF2FF"/>
          </w:tcPr>
          <w:p>
            <w:r>
              <w:t>#17213B</w:t>
            </w:r>
          </w:p>
        </w:tc>
        <w:tc>
          <w:tcPr>
            <w:tcW w:type="dxa" w:w="3202"/>
            <w:tcMar>
              <w:top w:w="110" w:type="dxa"/>
              <w:start w:w="130" w:type="dxa"/>
              <w:bottom w:w="110" w:type="dxa"/>
              <w:end w:w="130" w:type="dxa"/>
            </w:tcMar>
            <w:vAlign w:val="center"/>
            <w:shd w:fill="EEF2FF"/>
          </w:tcPr>
          <w:p>
            <w:r>
              <w:t>Body copy</w:t>
            </w:r>
          </w:p>
        </w:tc>
      </w:tr>
      <w:tr>
        <w:tc>
          <w:tcPr>
            <w:tcW w:type="dxa" w:w="3202"/>
            <w:tcMar>
              <w:top w:w="110" w:type="dxa"/>
              <w:start w:w="130" w:type="dxa"/>
              <w:bottom w:w="110" w:type="dxa"/>
              <w:end w:w="130" w:type="dxa"/>
            </w:tcMar>
            <w:vAlign w:val="center"/>
          </w:tcPr>
          <w:p>
            <w:r>
              <w:t>Slate</w:t>
            </w:r>
          </w:p>
        </w:tc>
        <w:tc>
          <w:tcPr>
            <w:tcW w:type="dxa" w:w="3202"/>
            <w:tcMar>
              <w:top w:w="110" w:type="dxa"/>
              <w:start w:w="130" w:type="dxa"/>
              <w:bottom w:w="110" w:type="dxa"/>
              <w:end w:w="130" w:type="dxa"/>
            </w:tcMar>
            <w:vAlign w:val="center"/>
          </w:tcPr>
          <w:p>
            <w:r>
              <w:t>#667085</w:t>
            </w:r>
          </w:p>
        </w:tc>
        <w:tc>
          <w:tcPr>
            <w:tcW w:type="dxa" w:w="3202"/>
            <w:tcMar>
              <w:top w:w="110" w:type="dxa"/>
              <w:start w:w="130" w:type="dxa"/>
              <w:bottom w:w="110" w:type="dxa"/>
              <w:end w:w="130" w:type="dxa"/>
            </w:tcMar>
            <w:vAlign w:val="center"/>
          </w:tcPr>
          <w:p>
            <w:r>
              <w:t>Secondary copy</w:t>
            </w:r>
          </w:p>
        </w:tc>
      </w:tr>
    </w:tbl>
    <w:p>
      <w:r>
        <w:t>Accessibility: use navy or ink on light backgrounds. White may be used on navy or cobalt for any text. On teal, use white for large headings and interface elements only; use navy or ink for body copy (white on teal measures 3.45:1, sufficient only for large text). Lime is an accent, not a body-text colour. Never rely on colour alone to communicate status.</w:t>
      </w:r>
    </w:p>
    <w:p>
      <w:pPr>
        <w:pStyle w:val="Heading1"/>
      </w:pPr>
      <w:r>
        <w:t>6. Typography</w:t>
      </w:r>
    </w:p>
    <w:p>
      <w:r>
        <w:t>Primary brand typeface: Plus Jakarta Sans. It combines geometric confidence with friendly forms. Product/UI typeface: Inter for high legibility at small sizes. Office fallback: Aptos Display for headings and Aptos for body text. Web fallback stack: 'Plus Jakarta Sans', Inter, system-ui, Arial, sans-serif.</w:t>
      </w:r>
    </w:p>
    <w:tbl>
      <w:tblPr>
        <w:tblW w:type="auto" w:w="0"/>
        <w:jc w:val="center"/>
        <w:tblLayout w:type="fixed"/>
        <w:tblLook w:firstColumn="1" w:firstRow="1" w:lastColumn="0" w:lastRow="0" w:noHBand="0" w:noVBand="1" w:val="04A0"/>
      </w:tblPr>
      <w:tblGrid>
        <w:gridCol w:w="3202"/>
        <w:gridCol w:w="3202"/>
        <w:gridCol w:w="3202"/>
      </w:tblGrid>
      <w:tr>
        <w:tc>
          <w:tcPr>
            <w:tcW w:type="dxa" w:w="3202"/>
            <w:shd w:fill="0B1739"/>
            <w:tcMar>
              <w:top w:w="110" w:type="dxa"/>
              <w:start w:w="130" w:type="dxa"/>
              <w:bottom w:w="110" w:type="dxa"/>
              <w:end w:w="130" w:type="dxa"/>
            </w:tcMar>
          </w:tcPr>
          <w:p>
            <w:r>
              <w:rPr>
                <w:b/>
                <w:color w:val="FFFFFF"/>
              </w:rPr>
              <w:t>Role</w:t>
            </w:r>
          </w:p>
        </w:tc>
        <w:tc>
          <w:tcPr>
            <w:tcW w:type="dxa" w:w="3202"/>
            <w:shd w:fill="0B1739"/>
            <w:tcMar>
              <w:top w:w="110" w:type="dxa"/>
              <w:start w:w="130" w:type="dxa"/>
              <w:bottom w:w="110" w:type="dxa"/>
              <w:end w:w="130" w:type="dxa"/>
            </w:tcMar>
          </w:tcPr>
          <w:p>
            <w:r>
              <w:rPr>
                <w:b/>
                <w:color w:val="FFFFFF"/>
              </w:rPr>
              <w:t>Typeface</w:t>
            </w:r>
          </w:p>
        </w:tc>
        <w:tc>
          <w:tcPr>
            <w:tcW w:type="dxa" w:w="3202"/>
            <w:shd w:fill="0B1739"/>
            <w:tcMar>
              <w:top w:w="110" w:type="dxa"/>
              <w:start w:w="130" w:type="dxa"/>
              <w:bottom w:w="110" w:type="dxa"/>
              <w:end w:w="130" w:type="dxa"/>
            </w:tcMar>
          </w:tcPr>
          <w:p>
            <w:r>
              <w:rPr>
                <w:b/>
                <w:color w:val="FFFFFF"/>
              </w:rPr>
              <w:t>Suggested size</w:t>
            </w:r>
          </w:p>
        </w:tc>
      </w:tr>
      <w:tr>
        <w:tc>
          <w:tcPr>
            <w:tcW w:type="dxa" w:w="3202"/>
            <w:tcMar>
              <w:top w:w="110" w:type="dxa"/>
              <w:start w:w="130" w:type="dxa"/>
              <w:bottom w:w="110" w:type="dxa"/>
              <w:end w:w="130" w:type="dxa"/>
            </w:tcMar>
            <w:vAlign w:val="center"/>
          </w:tcPr>
          <w:p>
            <w:r>
              <w:t>Display</w:t>
            </w:r>
          </w:p>
        </w:tc>
        <w:tc>
          <w:tcPr>
            <w:tcW w:type="dxa" w:w="3202"/>
            <w:tcMar>
              <w:top w:w="110" w:type="dxa"/>
              <w:start w:w="130" w:type="dxa"/>
              <w:bottom w:w="110" w:type="dxa"/>
              <w:end w:w="130" w:type="dxa"/>
            </w:tcMar>
            <w:vAlign w:val="center"/>
          </w:tcPr>
          <w:p>
            <w:r>
              <w:t>Plus Jakarta Sans Bold</w:t>
            </w:r>
          </w:p>
        </w:tc>
        <w:tc>
          <w:tcPr>
            <w:tcW w:type="dxa" w:w="3202"/>
            <w:tcMar>
              <w:top w:w="110" w:type="dxa"/>
              <w:start w:w="130" w:type="dxa"/>
              <w:bottom w:w="110" w:type="dxa"/>
              <w:end w:w="130" w:type="dxa"/>
            </w:tcMar>
            <w:vAlign w:val="center"/>
          </w:tcPr>
          <w:p>
            <w:r>
              <w:t>48–72 px web / 30–44 pt decks</w:t>
            </w:r>
          </w:p>
        </w:tc>
      </w:tr>
      <w:tr>
        <w:tc>
          <w:tcPr>
            <w:tcW w:type="dxa" w:w="3202"/>
            <w:tcMar>
              <w:top w:w="110" w:type="dxa"/>
              <w:start w:w="130" w:type="dxa"/>
              <w:bottom w:w="110" w:type="dxa"/>
              <w:end w:w="130" w:type="dxa"/>
            </w:tcMar>
            <w:vAlign w:val="center"/>
            <w:shd w:fill="EEF2FF"/>
          </w:tcPr>
          <w:p>
            <w:r>
              <w:t>Heading</w:t>
            </w:r>
          </w:p>
        </w:tc>
        <w:tc>
          <w:tcPr>
            <w:tcW w:type="dxa" w:w="3202"/>
            <w:tcMar>
              <w:top w:w="110" w:type="dxa"/>
              <w:start w:w="130" w:type="dxa"/>
              <w:bottom w:w="110" w:type="dxa"/>
              <w:end w:w="130" w:type="dxa"/>
            </w:tcMar>
            <w:vAlign w:val="center"/>
            <w:shd w:fill="EEF2FF"/>
          </w:tcPr>
          <w:p>
            <w:r>
              <w:t>Plus Jakarta Sans Bold</w:t>
            </w:r>
          </w:p>
        </w:tc>
        <w:tc>
          <w:tcPr>
            <w:tcW w:type="dxa" w:w="3202"/>
            <w:tcMar>
              <w:top w:w="110" w:type="dxa"/>
              <w:start w:w="130" w:type="dxa"/>
              <w:bottom w:w="110" w:type="dxa"/>
              <w:end w:w="130" w:type="dxa"/>
            </w:tcMar>
            <w:vAlign w:val="center"/>
            <w:shd w:fill="EEF2FF"/>
          </w:tcPr>
          <w:p>
            <w:r>
              <w:t>28–40 px web / 24–32 pt decks</w:t>
            </w:r>
          </w:p>
        </w:tc>
      </w:tr>
      <w:tr>
        <w:tc>
          <w:tcPr>
            <w:tcW w:type="dxa" w:w="3202"/>
            <w:tcMar>
              <w:top w:w="110" w:type="dxa"/>
              <w:start w:w="130" w:type="dxa"/>
              <w:bottom w:w="110" w:type="dxa"/>
              <w:end w:w="130" w:type="dxa"/>
            </w:tcMar>
            <w:vAlign w:val="center"/>
          </w:tcPr>
          <w:p>
            <w:r>
              <w:t>Body</w:t>
            </w:r>
          </w:p>
        </w:tc>
        <w:tc>
          <w:tcPr>
            <w:tcW w:type="dxa" w:w="3202"/>
            <w:tcMar>
              <w:top w:w="110" w:type="dxa"/>
              <w:start w:w="130" w:type="dxa"/>
              <w:bottom w:w="110" w:type="dxa"/>
              <w:end w:w="130" w:type="dxa"/>
            </w:tcMar>
            <w:vAlign w:val="center"/>
          </w:tcPr>
          <w:p>
            <w:r>
              <w:t>Inter Regular</w:t>
            </w:r>
          </w:p>
        </w:tc>
        <w:tc>
          <w:tcPr>
            <w:tcW w:type="dxa" w:w="3202"/>
            <w:tcMar>
              <w:top w:w="110" w:type="dxa"/>
              <w:start w:w="130" w:type="dxa"/>
              <w:bottom w:w="110" w:type="dxa"/>
              <w:end w:w="130" w:type="dxa"/>
            </w:tcMar>
            <w:vAlign w:val="center"/>
          </w:tcPr>
          <w:p>
            <w:r>
              <w:t>16–18 px web / 10.5–12 pt documents</w:t>
            </w:r>
          </w:p>
        </w:tc>
      </w:tr>
      <w:tr>
        <w:tc>
          <w:tcPr>
            <w:tcW w:type="dxa" w:w="3202"/>
            <w:tcMar>
              <w:top w:w="110" w:type="dxa"/>
              <w:start w:w="130" w:type="dxa"/>
              <w:bottom w:w="110" w:type="dxa"/>
              <w:end w:w="130" w:type="dxa"/>
            </w:tcMar>
            <w:vAlign w:val="center"/>
            <w:shd w:fill="EEF2FF"/>
          </w:tcPr>
          <w:p>
            <w:r>
              <w:t>UI label</w:t>
            </w:r>
          </w:p>
        </w:tc>
        <w:tc>
          <w:tcPr>
            <w:tcW w:type="dxa" w:w="3202"/>
            <w:tcMar>
              <w:top w:w="110" w:type="dxa"/>
              <w:start w:w="130" w:type="dxa"/>
              <w:bottom w:w="110" w:type="dxa"/>
              <w:end w:w="130" w:type="dxa"/>
            </w:tcMar>
            <w:vAlign w:val="center"/>
            <w:shd w:fill="EEF2FF"/>
          </w:tcPr>
          <w:p>
            <w:r>
              <w:t>Inter SemiBold</w:t>
            </w:r>
          </w:p>
        </w:tc>
        <w:tc>
          <w:tcPr>
            <w:tcW w:type="dxa" w:w="3202"/>
            <w:tcMar>
              <w:top w:w="110" w:type="dxa"/>
              <w:start w:w="130" w:type="dxa"/>
              <w:bottom w:w="110" w:type="dxa"/>
              <w:end w:w="130" w:type="dxa"/>
            </w:tcMar>
            <w:vAlign w:val="center"/>
            <w:shd w:fill="EEF2FF"/>
          </w:tcPr>
          <w:p>
            <w:r>
              <w:t>12–14 px</w:t>
            </w:r>
          </w:p>
        </w:tc>
      </w:tr>
      <w:tr>
        <w:tc>
          <w:tcPr>
            <w:tcW w:type="dxa" w:w="3202"/>
            <w:tcMar>
              <w:top w:w="110" w:type="dxa"/>
              <w:start w:w="130" w:type="dxa"/>
              <w:bottom w:w="110" w:type="dxa"/>
              <w:end w:w="130" w:type="dxa"/>
            </w:tcMar>
            <w:vAlign w:val="center"/>
          </w:tcPr>
          <w:p>
            <w:r>
              <w:t>Data</w:t>
            </w:r>
          </w:p>
        </w:tc>
        <w:tc>
          <w:tcPr>
            <w:tcW w:type="dxa" w:w="3202"/>
            <w:tcMar>
              <w:top w:w="110" w:type="dxa"/>
              <w:start w:w="130" w:type="dxa"/>
              <w:bottom w:w="110" w:type="dxa"/>
              <w:end w:w="130" w:type="dxa"/>
            </w:tcMar>
            <w:vAlign w:val="center"/>
          </w:tcPr>
          <w:p>
            <w:r>
              <w:t>Inter Medium, tabular numerals</w:t>
            </w:r>
          </w:p>
        </w:tc>
        <w:tc>
          <w:tcPr>
            <w:tcW w:type="dxa" w:w="3202"/>
            <w:tcMar>
              <w:top w:w="110" w:type="dxa"/>
              <w:start w:w="130" w:type="dxa"/>
              <w:bottom w:w="110" w:type="dxa"/>
              <w:end w:w="130" w:type="dxa"/>
            </w:tcMar>
            <w:vAlign w:val="center"/>
          </w:tcPr>
          <w:p>
            <w:r>
              <w:t>12–16 px</w:t>
            </w:r>
          </w:p>
        </w:tc>
      </w:tr>
    </w:tbl>
    <w:p>
      <w:pPr>
        <w:pStyle w:val="Heading1"/>
      </w:pPr>
      <w:r>
        <w:t>7. Voice and writing</w:t>
      </w:r>
    </w:p>
    <w:p>
      <w:r>
        <w:t>Write like an expert guide beside the customer: plain, encouraging and exact. Lead with the business outcome, explain one step at a time and make responsibility clear.</w:t>
      </w:r>
    </w:p>
    <w:p>
      <w:pPr>
        <w:pStyle w:val="Heading2"/>
      </w:pPr>
      <w:r>
        <w:t>Spelling and mechanics</w:t>
      </w:r>
    </w:p>
    <w:p>
      <w:r>
        <w:t>Kualifi uses British English spelling in all communications: organise, prioritise, recognise, colour, behaviour, licence (noun) and programme. Do not use the Oxford comma: prepare, improve and stay ready. Em dashes are unspaced. ESG is always capitalised; spell out environmental, social and governance on first mention in long-form writing. This policy applies to the product interface, website, documents, decks and social content.</w:t>
      </w:r>
    </w:p>
    <w:tbl>
      <w:tblPr>
        <w:tblW w:type="auto" w:w="0"/>
        <w:jc w:val="center"/>
        <w:tblLayout w:type="fixed"/>
        <w:tblLook w:firstColumn="1" w:firstRow="1" w:lastColumn="0" w:lastRow="0" w:noHBand="0" w:noVBand="1" w:val="04A0"/>
      </w:tblPr>
      <w:tblGrid>
        <w:gridCol w:w="4802"/>
        <w:gridCol w:w="4802"/>
      </w:tblGrid>
      <w:tr>
        <w:tc>
          <w:tcPr>
            <w:tcW w:type="dxa" w:w="4802"/>
            <w:shd w:fill="0B1739"/>
            <w:tcMar>
              <w:top w:w="110" w:type="dxa"/>
              <w:start w:w="130" w:type="dxa"/>
              <w:bottom w:w="110" w:type="dxa"/>
              <w:end w:w="130" w:type="dxa"/>
            </w:tcMar>
          </w:tcPr>
          <w:p>
            <w:r>
              <w:rPr>
                <w:b/>
                <w:color w:val="FFFFFF"/>
              </w:rPr>
              <w:t>Prefer</w:t>
            </w:r>
          </w:p>
        </w:tc>
        <w:tc>
          <w:tcPr>
            <w:tcW w:type="dxa" w:w="4802"/>
            <w:shd w:fill="0B1739"/>
            <w:tcMar>
              <w:top w:w="110" w:type="dxa"/>
              <w:start w:w="130" w:type="dxa"/>
              <w:bottom w:w="110" w:type="dxa"/>
              <w:end w:w="130" w:type="dxa"/>
            </w:tcMar>
          </w:tcPr>
          <w:p>
            <w:r>
              <w:rPr>
                <w:b/>
                <w:color w:val="FFFFFF"/>
              </w:rPr>
              <w:t>Avoid</w:t>
            </w:r>
          </w:p>
        </w:tc>
      </w:tr>
      <w:tr>
        <w:tc>
          <w:tcPr>
            <w:tcW w:type="dxa" w:w="4802"/>
            <w:tcMar>
              <w:top w:w="110" w:type="dxa"/>
              <w:start w:w="130" w:type="dxa"/>
              <w:bottom w:w="110" w:type="dxa"/>
              <w:end w:w="130" w:type="dxa"/>
            </w:tcMar>
            <w:vAlign w:val="center"/>
          </w:tcPr>
          <w:p>
            <w:r>
              <w:t>See what is ready and what needs attention.</w:t>
            </w:r>
          </w:p>
        </w:tc>
        <w:tc>
          <w:tcPr>
            <w:tcW w:type="dxa" w:w="4802"/>
            <w:tcMar>
              <w:top w:w="110" w:type="dxa"/>
              <w:start w:w="130" w:type="dxa"/>
              <w:bottom w:w="110" w:type="dxa"/>
              <w:end w:w="130" w:type="dxa"/>
            </w:tcMar>
            <w:vAlign w:val="center"/>
          </w:tcPr>
          <w:p>
            <w:r>
              <w:t>Achieve comprehensive ESG paradigm transformation.</w:t>
            </w:r>
          </w:p>
        </w:tc>
      </w:tr>
      <w:tr>
        <w:tc>
          <w:tcPr>
            <w:tcW w:type="dxa" w:w="4802"/>
            <w:tcMar>
              <w:top w:w="110" w:type="dxa"/>
              <w:start w:w="130" w:type="dxa"/>
              <w:bottom w:w="110" w:type="dxa"/>
              <w:end w:w="130" w:type="dxa"/>
            </w:tcMar>
            <w:vAlign w:val="center"/>
            <w:shd w:fill="EEF2FF"/>
          </w:tcPr>
          <w:p>
            <w:r>
              <w:t>Upload evidence for this requirement.</w:t>
            </w:r>
          </w:p>
        </w:tc>
        <w:tc>
          <w:tcPr>
            <w:tcW w:type="dxa" w:w="4802"/>
            <w:tcMar>
              <w:top w:w="110" w:type="dxa"/>
              <w:start w:w="130" w:type="dxa"/>
              <w:bottom w:w="110" w:type="dxa"/>
              <w:end w:w="130" w:type="dxa"/>
            </w:tcMar>
            <w:vAlign w:val="center"/>
            <w:shd w:fill="EEF2FF"/>
          </w:tcPr>
          <w:p>
            <w:r>
              <w:t>Kindly furnish all relevant documentary proof.</w:t>
            </w:r>
          </w:p>
        </w:tc>
      </w:tr>
      <w:tr>
        <w:tc>
          <w:tcPr>
            <w:tcW w:type="dxa" w:w="4802"/>
            <w:tcMar>
              <w:top w:w="110" w:type="dxa"/>
              <w:start w:w="130" w:type="dxa"/>
              <w:bottom w:w="110" w:type="dxa"/>
              <w:end w:w="130" w:type="dxa"/>
            </w:tcMar>
            <w:vAlign w:val="center"/>
          </w:tcPr>
          <w:p>
            <w:r>
              <w:t>Prepare for independent assessment against the national standard.</w:t>
            </w:r>
          </w:p>
        </w:tc>
        <w:tc>
          <w:tcPr>
            <w:tcW w:type="dxa" w:w="4802"/>
            <w:tcMar>
              <w:top w:w="110" w:type="dxa"/>
              <w:start w:w="130" w:type="dxa"/>
              <w:bottom w:w="110" w:type="dxa"/>
              <w:end w:w="130" w:type="dxa"/>
            </w:tcMar>
            <w:vAlign w:val="center"/>
          </w:tcPr>
          <w:p>
            <w:r>
              <w:t>Get SIRIM certified with Kualifi.</w:t>
            </w:r>
          </w:p>
        </w:tc>
      </w:tr>
      <w:tr>
        <w:tc>
          <w:tcPr>
            <w:tcW w:type="dxa" w:w="4802"/>
            <w:tcMar>
              <w:top w:w="110" w:type="dxa"/>
              <w:start w:w="130" w:type="dxa"/>
              <w:bottom w:w="110" w:type="dxa"/>
              <w:end w:w="130" w:type="dxa"/>
            </w:tcMar>
            <w:vAlign w:val="center"/>
            <w:shd w:fill="EEF2FF"/>
          </w:tcPr>
          <w:p>
            <w:r>
              <w:t>Your readiness score has improved.</w:t>
            </w:r>
          </w:p>
        </w:tc>
        <w:tc>
          <w:tcPr>
            <w:tcW w:type="dxa" w:w="4802"/>
            <w:tcMar>
              <w:top w:w="110" w:type="dxa"/>
              <w:start w:w="130" w:type="dxa"/>
              <w:bottom w:w="110" w:type="dxa"/>
              <w:end w:w="130" w:type="dxa"/>
            </w:tcMar>
            <w:vAlign w:val="center"/>
            <w:shd w:fill="EEF2FF"/>
          </w:tcPr>
          <w:p>
            <w:r>
              <w:t>You are SIRIM approved.</w:t>
            </w:r>
          </w:p>
        </w:tc>
      </w:tr>
      <w:tr>
        <w:tc>
          <w:tcPr>
            <w:tcW w:type="dxa" w:w="4802"/>
            <w:tcMar>
              <w:top w:w="110" w:type="dxa"/>
              <w:start w:w="130" w:type="dxa"/>
              <w:bottom w:w="110" w:type="dxa"/>
              <w:end w:w="130" w:type="dxa"/>
            </w:tcMar>
            <w:vAlign w:val="center"/>
          </w:tcPr>
          <w:p>
            <w:r>
              <w:t>Three actions are due this month.</w:t>
            </w:r>
          </w:p>
        </w:tc>
        <w:tc>
          <w:tcPr>
            <w:tcW w:type="dxa" w:w="4802"/>
            <w:tcMar>
              <w:top w:w="110" w:type="dxa"/>
              <w:start w:w="130" w:type="dxa"/>
              <w:bottom w:w="110" w:type="dxa"/>
              <w:end w:w="130" w:type="dxa"/>
            </w:tcMar>
            <w:vAlign w:val="center"/>
          </w:tcPr>
          <w:p>
            <w:r>
              <w:t>Non-compliance warning.</w:t>
            </w:r>
          </w:p>
        </w:tc>
      </w:tr>
    </w:tbl>
    <w:p>
      <w:pPr>
        <w:pStyle w:val="Heading1"/>
      </w:pPr>
      <w:r>
        <w:t>8. Certification and readiness claims</w:t>
      </w:r>
    </w:p>
    <w:p>
      <w:r>
        <w:t>Kualifi is independent and is not SIRIM or SIRIM QAS International. Kualifi supports preparation for assessment against SIRIM 55:2023, “Environmental, Social and Governance management systems — Requirements with guidance.” Certification decisions remain solely with the appointed independent certification body.</w:t>
      </w:r>
    </w:p>
    <w:p>
      <w:r>
        <w:t>Approved disclaimer: “Kualifi is an independent ESG readiness platform. A Kualifi readiness score is not certification, accreditation, endorsement or approval by SIRIM or SIRIM QAS International.”</w:t>
      </w:r>
    </w:p>
    <w:p>
      <w:pPr>
        <w:pStyle w:val="Heading2"/>
      </w:pPr>
      <w:r>
        <w:t>Referring to SIRIM and the standard</w:t>
      </w:r>
    </w:p>
    <w:p>
      <w:r>
        <w:t>Interim rule — in force until SIRIM’s written permission is obtained: public-facing copy does not name SIRIM or SIRIM 55:2023 at all, including in disclaimers. Refer instead to “Malaysia’s national ESG standard”, “the national ESG standard” or “recognised ESG management-system requirements”. Approved interim disclaimer: “Kualifi is an independent ESG readiness platform. A Kualifi readiness score is not certification, and Kualifi does not award or guarantee certification; certification decisions rest solely with independent certification bodies.” The named-reference register and the named disclaimer in this section come back into force only once permission is granted. This guidelines document is internal and may name SIRIM in its rules.</w:t>
      </w:r>
    </w:p>
    <w:p>
      <w:r>
        <w:t>Kualifi never claims or implies certification, endorsement, approval or any relationship with SIRIM. Describe the connection to the standard in one of two registers. In headlines, navigation, buttons, badges, product names and social content, use standard-neutral language that does not name SIRIM: “inspired by Malaysia’s national ESG guidelines”, “informed by the requirements of the national ESG standard”, “built around recognised ESG management-system requirements”, “aligned to national ESG guidance”. In body copy where the standard must be named for clarity, use preparation framing with the disclaimer nearby: “Kualifi’s methodology is independently developed and informed by the published requirements of SIRIM 55:2023”, “helps you prepare for independent assessment against SIRIM 55:2023”. Name the standard in full with its title once per page or document, then refer to “the standard”.</w:t>
      </w:r>
    </w:p>
    <w:p>
      <w:r>
        <w:t>Never say: certified, accredited, approved, endorsed, recognised, authorised, official, partner, compliant with or meets the requirements of SIRIM 55:2023 (conformity is the assessor’s decision — say “addresses the requirement areas of”), SIRIM-ready, or any wording implying SIRIM’s blessing. Never place the SIRIM name in a headline, button, badge, product name or handle, and never use the SIRIM logo. Testimonials must not imply SIRIM endorsement.</w:t>
      </w:r>
    </w:p>
    <w:p>
      <w:pPr>
        <w:pStyle w:val="Heading1"/>
      </w:pPr>
      <w:r>
        <w:t>9. Badge system</w:t>
      </w:r>
    </w:p>
    <w:p>
      <w:r>
        <w:t>Use “Kualifi Ready” rather than “Kualifi Verified.” It confirms that a defined Kualifi readiness-score threshold was achieved on a stated date. Every badge must link to or display the assessed scope, score methodology, evidence-review level, issue date and expiry/review date.</w:t>
      </w:r>
    </w:p>
    <w:p>
      <w:r>
        <w:t>Never place the SIRIM name or logo inside the badge. Never use “certified,” “accredited,” “approved” or “SIRIM ready” as a badge label.</w:t>
      </w:r>
    </w:p>
    <w:p>
      <w:pPr>
        <w:pStyle w:val="Heading1"/>
      </w:pPr>
      <w:r>
        <w:t>10. Product architecture</w:t>
      </w:r>
    </w:p>
    <w:tbl>
      <w:tblPr>
        <w:tblW w:type="auto" w:w="0"/>
        <w:jc w:val="center"/>
        <w:tblLayout w:type="fixed"/>
        <w:tblLook w:firstColumn="1" w:firstRow="1" w:lastColumn="0" w:lastRow="0" w:noHBand="0" w:noVBand="1" w:val="04A0"/>
      </w:tblPr>
      <w:tblGrid>
        <w:gridCol w:w="4802"/>
        <w:gridCol w:w="4802"/>
      </w:tblGrid>
      <w:tr>
        <w:tc>
          <w:tcPr>
            <w:tcW w:type="dxa" w:w="4802"/>
            <w:shd w:fill="0B1739"/>
            <w:tcMar>
              <w:top w:w="110" w:type="dxa"/>
              <w:start w:w="130" w:type="dxa"/>
              <w:bottom w:w="110" w:type="dxa"/>
              <w:end w:w="130" w:type="dxa"/>
            </w:tcMar>
          </w:tcPr>
          <w:p>
            <w:r>
              <w:rPr>
                <w:b/>
                <w:color w:val="FFFFFF"/>
              </w:rPr>
              <w:t>Name</w:t>
            </w:r>
          </w:p>
        </w:tc>
        <w:tc>
          <w:tcPr>
            <w:tcW w:type="dxa" w:w="4802"/>
            <w:shd w:fill="0B1739"/>
            <w:tcMar>
              <w:top w:w="110" w:type="dxa"/>
              <w:start w:w="130" w:type="dxa"/>
              <w:bottom w:w="110" w:type="dxa"/>
              <w:end w:w="130" w:type="dxa"/>
            </w:tcMar>
          </w:tcPr>
          <w:p>
            <w:r>
              <w:rPr>
                <w:b/>
                <w:color w:val="FFFFFF"/>
              </w:rPr>
              <w:t>Job</w:t>
            </w:r>
          </w:p>
        </w:tc>
      </w:tr>
      <w:tr>
        <w:tc>
          <w:tcPr>
            <w:tcW w:type="dxa" w:w="4802"/>
            <w:tcMar>
              <w:top w:w="110" w:type="dxa"/>
              <w:start w:w="130" w:type="dxa"/>
              <w:bottom w:w="110" w:type="dxa"/>
              <w:end w:w="130" w:type="dxa"/>
            </w:tcMar>
            <w:vAlign w:val="center"/>
          </w:tcPr>
          <w:p>
            <w:r>
              <w:t>Kualifi ESG</w:t>
            </w:r>
          </w:p>
        </w:tc>
        <w:tc>
          <w:tcPr>
            <w:tcW w:type="dxa" w:w="4802"/>
            <w:tcMar>
              <w:top w:w="110" w:type="dxa"/>
              <w:start w:w="130" w:type="dxa"/>
              <w:bottom w:w="110" w:type="dxa"/>
              <w:end w:w="130" w:type="dxa"/>
            </w:tcMar>
            <w:vAlign w:val="center"/>
          </w:tcPr>
          <w:p>
            <w:r>
              <w:t>Current platform</w:t>
            </w:r>
          </w:p>
        </w:tc>
      </w:tr>
      <w:tr>
        <w:tc>
          <w:tcPr>
            <w:tcW w:type="dxa" w:w="4802"/>
            <w:tcMar>
              <w:top w:w="110" w:type="dxa"/>
              <w:start w:w="130" w:type="dxa"/>
              <w:bottom w:w="110" w:type="dxa"/>
              <w:end w:w="130" w:type="dxa"/>
            </w:tcMar>
            <w:vAlign w:val="center"/>
            <w:shd w:fill="EEF2FF"/>
          </w:tcPr>
          <w:p>
            <w:r>
              <w:t>Kualifi Assess</w:t>
            </w:r>
          </w:p>
        </w:tc>
        <w:tc>
          <w:tcPr>
            <w:tcW w:type="dxa" w:w="4802"/>
            <w:tcMar>
              <w:top w:w="110" w:type="dxa"/>
              <w:start w:w="130" w:type="dxa"/>
              <w:bottom w:w="110" w:type="dxa"/>
              <w:end w:w="130" w:type="dxa"/>
            </w:tcMar>
            <w:vAlign w:val="center"/>
            <w:shd w:fill="EEF2FF"/>
          </w:tcPr>
          <w:p>
            <w:r>
              <w:t>Guided assessment and readiness scoring</w:t>
            </w:r>
          </w:p>
        </w:tc>
      </w:tr>
      <w:tr>
        <w:tc>
          <w:tcPr>
            <w:tcW w:type="dxa" w:w="4802"/>
            <w:tcMar>
              <w:top w:w="110" w:type="dxa"/>
              <w:start w:w="130" w:type="dxa"/>
              <w:bottom w:w="110" w:type="dxa"/>
              <w:end w:w="130" w:type="dxa"/>
            </w:tcMar>
            <w:vAlign w:val="center"/>
          </w:tcPr>
          <w:p>
            <w:r>
              <w:t>Kualifi Actions</w:t>
            </w:r>
          </w:p>
        </w:tc>
        <w:tc>
          <w:tcPr>
            <w:tcW w:type="dxa" w:w="4802"/>
            <w:tcMar>
              <w:top w:w="110" w:type="dxa"/>
              <w:start w:w="130" w:type="dxa"/>
              <w:bottom w:w="110" w:type="dxa"/>
              <w:end w:w="130" w:type="dxa"/>
            </w:tcMar>
            <w:vAlign w:val="center"/>
          </w:tcPr>
          <w:p>
            <w:r>
              <w:t>Gap-remediation plan</w:t>
            </w:r>
          </w:p>
        </w:tc>
      </w:tr>
      <w:tr>
        <w:tc>
          <w:tcPr>
            <w:tcW w:type="dxa" w:w="4802"/>
            <w:tcMar>
              <w:top w:w="110" w:type="dxa"/>
              <w:start w:w="130" w:type="dxa"/>
              <w:bottom w:w="110" w:type="dxa"/>
              <w:end w:w="130" w:type="dxa"/>
            </w:tcMar>
            <w:vAlign w:val="center"/>
            <w:shd w:fill="EEF2FF"/>
          </w:tcPr>
          <w:p>
            <w:r>
              <w:t>Kualifi Monitor</w:t>
            </w:r>
          </w:p>
        </w:tc>
        <w:tc>
          <w:tcPr>
            <w:tcW w:type="dxa" w:w="4802"/>
            <w:tcMar>
              <w:top w:w="110" w:type="dxa"/>
              <w:start w:w="130" w:type="dxa"/>
              <w:bottom w:w="110" w:type="dxa"/>
              <w:end w:w="130" w:type="dxa"/>
            </w:tcMar>
            <w:vAlign w:val="center"/>
            <w:shd w:fill="EEF2FF"/>
          </w:tcPr>
          <w:p>
            <w:r>
              <w:t>Reminders and continuous readiness</w:t>
            </w:r>
          </w:p>
        </w:tc>
      </w:tr>
      <w:tr>
        <w:tc>
          <w:tcPr>
            <w:tcW w:type="dxa" w:w="4802"/>
            <w:tcMar>
              <w:top w:w="110" w:type="dxa"/>
              <w:start w:w="130" w:type="dxa"/>
              <w:bottom w:w="110" w:type="dxa"/>
              <w:end w:w="130" w:type="dxa"/>
            </w:tcMar>
            <w:vAlign w:val="center"/>
          </w:tcPr>
          <w:p>
            <w:r>
              <w:t>Kualifi Reports</w:t>
            </w:r>
          </w:p>
        </w:tc>
        <w:tc>
          <w:tcPr>
            <w:tcW w:type="dxa" w:w="4802"/>
            <w:tcMar>
              <w:top w:w="110" w:type="dxa"/>
              <w:start w:w="130" w:type="dxa"/>
              <w:bottom w:w="110" w:type="dxa"/>
              <w:end w:w="130" w:type="dxa"/>
            </w:tcMar>
            <w:vAlign w:val="center"/>
          </w:tcPr>
          <w:p>
            <w:r>
              <w:t>Stakeholder-ready progress reporting</w:t>
            </w:r>
          </w:p>
        </w:tc>
      </w:tr>
      <w:tr>
        <w:tc>
          <w:tcPr>
            <w:tcW w:type="dxa" w:w="4802"/>
            <w:tcMar>
              <w:top w:w="110" w:type="dxa"/>
              <w:start w:w="130" w:type="dxa"/>
              <w:bottom w:w="110" w:type="dxa"/>
              <w:end w:w="130" w:type="dxa"/>
            </w:tcMar>
            <w:vAlign w:val="center"/>
            <w:shd w:fill="EEF2FF"/>
          </w:tcPr>
          <w:p>
            <w:r>
              <w:t>Kualifi Advisory</w:t>
            </w:r>
          </w:p>
        </w:tc>
        <w:tc>
          <w:tcPr>
            <w:tcW w:type="dxa" w:w="4802"/>
            <w:tcMar>
              <w:top w:w="110" w:type="dxa"/>
              <w:start w:w="130" w:type="dxa"/>
              <w:bottom w:w="110" w:type="dxa"/>
              <w:end w:w="130" w:type="dxa"/>
            </w:tcMar>
            <w:vAlign w:val="center"/>
            <w:shd w:fill="EEF2FF"/>
          </w:tcPr>
          <w:p>
            <w:r>
              <w:t>Optional human guidance</w:t>
            </w:r>
          </w:p>
        </w:tc>
      </w:tr>
    </w:tbl>
    <w:p>
      <w:pPr>
        <w:pStyle w:val="Heading1"/>
      </w:pPr>
      <w:r>
        <w:t>11. Website direction</w:t>
      </w:r>
    </w:p>
    <w:p>
      <w:r>
        <w:t>The website should feel like an expressive SaaS product: generous type, warm canvas, sharp product demonstrations and purposeful motion. Use real interface views, plain-language walkthroughs and visible progress states. Avoid generic sustainability stock photography.</w:t>
      </w:r>
    </w:p>
    <w:p>
      <w:pPr>
        <w:pStyle w:val="Heading1"/>
      </w:pPr>
      <w:r>
        <w:t>12. Document and deck standards</w:t>
      </w:r>
    </w:p>
    <w:p>
      <w:r>
        <w:t>Documents use A4, a restrained header, strong navy hierarchy and cobalt/teal highlights. Sales decks use 16:9, one claim per slide, large takeaway titles and no more than three supporting points. Reports place score context and methodology beside every result.</w:t>
      </w:r>
    </w:p>
    <w:p>
      <w:pPr>
        <w:pStyle w:val="Heading1"/>
      </w:pPr>
      <w:r>
        <w:t>13. Governance</w:t>
      </w:r>
    </w:p>
    <w:p>
      <w:r>
        <w:t>One brand owner should approve new marks, badge claims, colours, templates and public certification language. Review this guide whenever the product scope, assessment method or external standards change.</w:t>
      </w:r>
    </w:p>
    <w:sectPr w:rsidR="00FC693F" w:rsidRPr="0006063C" w:rsidSect="00034616">
      <w:headerReference w:type="default" r:id="rId9"/>
      <w:footerReference w:type="default" r:id="rId10"/>
      <w:pgSz w:w="11909" w:h="16834"/>
      <w:pgMar w:top="1080"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t xml:space="preserve">kualifi.com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Caption"/>
    </w:pPr>
    <w:r>
      <w:rPr>
        <w:color w:val="667085"/>
        <w:sz w:val="16"/>
      </w:rPr>
      <w:t>KUALIFI  /  MAKING ESG READINESS ACHIEVABLE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ptos" w:hAnsi="Aptos"/>
      <w:color w:val="17213B"/>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60"/>
      <w:outlineLvl w:val="0"/>
    </w:pPr>
    <w:rPr>
      <w:rFonts w:asciiTheme="majorHAnsi" w:eastAsiaTheme="majorEastAsia" w:hAnsiTheme="majorHAnsi" w:cstheme="majorBidi" w:ascii="Aptos Display" w:hAnsi="Aptos Display"/>
      <w:b/>
      <w:bCs/>
      <w:color w:val="0B1739"/>
      <w:sz w:val="40"/>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Theme="majorHAnsi" w:eastAsiaTheme="majorEastAsia" w:hAnsiTheme="majorHAnsi" w:cstheme="majorBidi" w:ascii="Aptos Display" w:hAnsi="Aptos Display"/>
      <w:b/>
      <w:bCs/>
      <w:color w:val="3157F6"/>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Aptos Display" w:hAnsi="Aptos Display"/>
      <w:b/>
      <w:bCs/>
      <w:color w:val="0C9B8E"/>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Aptos Display" w:hAnsi="Aptos Display"/>
      <w:b/>
      <w:color w:val="0B1739"/>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