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80"/>
      </w:pPr>
      <w:r>
        <w:rPr>
          <w:rFonts w:ascii="Aptos Display" w:hAnsi="Aptos Display"/>
          <w:b/>
          <w:color w:val="3157F6"/>
          <w:sz w:val="112"/>
        </w:rPr>
        <w:t>K</w:t>
      </w:r>
    </w:p>
    <w:p>
      <w:pPr>
        <w:pStyle w:val="Title"/>
      </w:pPr>
      <w:r>
        <w:t>ESG Readiness Report</w:t>
      </w:r>
    </w:p>
    <w:p>
      <w:pPr>
        <w:pStyle w:val="Subtitle"/>
      </w:pPr>
      <w:r>
        <w:rPr>
          <w:color w:val="667085"/>
        </w:rPr>
        <w:t>[Company name]  •  Reporting period [date]</w:t>
      </w:r>
    </w:p>
    <w:p>
      <w:pPr>
        <w:spacing w:before="360"/>
      </w:pPr>
      <w:r>
        <w:rPr>
          <w:b/>
          <w:color w:val="0C9B8E"/>
          <w:sz w:val="30"/>
        </w:rPr>
        <w:t>Making ESG readiness achievable.</w:t>
      </w:r>
    </w:p>
    <w:p>
      <w:pPr>
        <w:pStyle w:val="Caption"/>
      </w:pPr>
      <w:r>
        <w:t>Version 1.0  •  July 2026</w:t>
      </w:r>
    </w:p>
    <w:p>
      <w:r>
        <w:br w:type="page"/>
      </w:r>
    </w:p>
    <w:p>
      <w:pPr>
        <w:pStyle w:val="Heading1"/>
      </w:pPr>
      <w:r>
        <w:t>Executive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02"/>
        <w:gridCol w:w="3202"/>
        <w:gridCol w:w="3202"/>
      </w:tblGrid>
      <w:tr>
        <w:tc>
          <w:tcPr>
            <w:tcW w:type="dxa" w:w="3202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Readiness score</w:t>
            </w:r>
          </w:p>
        </w:tc>
        <w:tc>
          <w:tcPr>
            <w:tcW w:type="dxa" w:w="3202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Status</w:t>
            </w:r>
          </w:p>
        </w:tc>
        <w:tc>
          <w:tcPr>
            <w:tcW w:type="dxa" w:w="3202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Next review</w:t>
            </w:r>
          </w:p>
        </w:tc>
      </w:tr>
      <w:tr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[00/100]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[Foundation / Progressing / Ready]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[Date]</w:t>
            </w:r>
          </w:p>
        </w:tc>
      </w:tr>
    </w:tbl>
    <w:p>
      <w:r>
        <w:t>This score reflects Kualifi’s readiness methodology and the scope and evidence recorded as of the report date. It is not certification.</w:t>
      </w:r>
    </w:p>
    <w:p>
      <w:pPr>
        <w:pStyle w:val="Heading1"/>
      </w:pPr>
      <w:r>
        <w:t>Readiness by pillar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02"/>
        <w:gridCol w:w="3202"/>
        <w:gridCol w:w="3202"/>
      </w:tblGrid>
      <w:tr>
        <w:tc>
          <w:tcPr>
            <w:tcW w:type="dxa" w:w="3202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Pillar</w:t>
            </w:r>
          </w:p>
        </w:tc>
        <w:tc>
          <w:tcPr>
            <w:tcW w:type="dxa" w:w="3202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Score</w:t>
            </w:r>
          </w:p>
        </w:tc>
        <w:tc>
          <w:tcPr>
            <w:tcW w:type="dxa" w:w="3202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Key priority</w:t>
            </w:r>
          </w:p>
        </w:tc>
      </w:tr>
      <w:tr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Environmental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[00]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[Priority]</w:t>
            </w:r>
          </w:p>
        </w:tc>
      </w:tr>
      <w:tr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EF2FF"/>
          </w:tcPr>
          <w:p>
            <w:r>
              <w:t>Social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EF2FF"/>
          </w:tcPr>
          <w:p>
            <w:r>
              <w:t>[00]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EF2FF"/>
          </w:tcPr>
          <w:p>
            <w:r>
              <w:t>[Priority]</w:t>
            </w:r>
          </w:p>
        </w:tc>
      </w:tr>
      <w:tr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Governance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[00]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[Priority]</w:t>
            </w:r>
          </w:p>
        </w:tc>
      </w:tr>
    </w:tbl>
    <w:p>
      <w:pPr>
        <w:pStyle w:val="Heading1"/>
      </w:pPr>
      <w:r>
        <w:t>Priority actions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1"/>
        <w:gridCol w:w="2401"/>
        <w:gridCol w:w="2401"/>
        <w:gridCol w:w="2401"/>
      </w:tblGrid>
      <w:tr>
        <w:tc>
          <w:tcPr>
            <w:tcW w:type="dxa" w:w="2401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2401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401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Due</w:t>
            </w:r>
          </w:p>
        </w:tc>
        <w:tc>
          <w:tcPr>
            <w:tcW w:type="dxa" w:w="2401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Status</w:t>
            </w:r>
          </w:p>
        </w:tc>
      </w:tr>
      <w:tr>
        <w:tc>
          <w:tcPr>
            <w:tcW w:type="dxa" w:w="240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[Action]</w:t>
            </w:r>
          </w:p>
        </w:tc>
        <w:tc>
          <w:tcPr>
            <w:tcW w:type="dxa" w:w="240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[Owner]</w:t>
            </w:r>
          </w:p>
        </w:tc>
        <w:tc>
          <w:tcPr>
            <w:tcW w:type="dxa" w:w="240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[Date]</w:t>
            </w:r>
          </w:p>
        </w:tc>
        <w:tc>
          <w:tcPr>
            <w:tcW w:type="dxa" w:w="240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[Not started]</w:t>
            </w:r>
          </w:p>
        </w:tc>
      </w:tr>
      <w:tr>
        <w:tc>
          <w:tcPr>
            <w:tcW w:type="dxa" w:w="240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EF2FF"/>
          </w:tcPr>
          <w:p>
            <w:r>
              <w:t>[Action]</w:t>
            </w:r>
          </w:p>
        </w:tc>
        <w:tc>
          <w:tcPr>
            <w:tcW w:type="dxa" w:w="240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EF2FF"/>
          </w:tcPr>
          <w:p>
            <w:r>
              <w:t>[Owner]</w:t>
            </w:r>
          </w:p>
        </w:tc>
        <w:tc>
          <w:tcPr>
            <w:tcW w:type="dxa" w:w="240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EF2FF"/>
          </w:tcPr>
          <w:p>
            <w:r>
              <w:t>[Date]</w:t>
            </w:r>
          </w:p>
        </w:tc>
        <w:tc>
          <w:tcPr>
            <w:tcW w:type="dxa" w:w="240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EF2FF"/>
          </w:tcPr>
          <w:p>
            <w:r>
              <w:t>[In progress]</w:t>
            </w:r>
          </w:p>
        </w:tc>
      </w:tr>
    </w:tbl>
    <w:p>
      <w:pPr>
        <w:pStyle w:val="Heading1"/>
      </w:pPr>
      <w:r>
        <w:t>Evidence coverage</w:t>
      </w:r>
    </w:p>
    <w:p>
      <w:r>
        <w:t>[Summarise evidence submitted, reviewed and outstanding.]</w:t>
      </w:r>
    </w:p>
    <w:p>
      <w:pPr>
        <w:pStyle w:val="Heading1"/>
      </w:pPr>
      <w:r>
        <w:t>Methodology and limitations</w:t>
      </w:r>
    </w:p>
    <w:p>
      <w:r>
        <w:t>[State assessment scope, scoring version, evidence-review level and exclusions.]</w:t>
      </w:r>
    </w:p>
    <w:p>
      <w:pPr>
        <w:pStyle w:val="Heading1"/>
      </w:pPr>
      <w:r>
        <w:t>Independent assessment preparation</w:t>
      </w:r>
    </w:p>
    <w:p>
      <w:r>
        <w:t>Kualifi supports preparation for independent assessment against Malaysia’s national ESG standard. Formal certification decisions remain with the appointed independent certification body.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1080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 xml:space="preserve">kualifi.com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rPr>
        <w:color w:val="667085"/>
        <w:sz w:val="16"/>
      </w:rPr>
      <w:t>KUALIFI  /  MAKING ESG READINESS ACHIEVABLE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1721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1739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157F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C9B8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B1739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