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80"/>
      </w:pPr>
      <w:r>
        <w:rPr>
          <w:rFonts w:ascii="Aptos Display" w:hAnsi="Aptos Display"/>
          <w:b/>
          <w:color w:val="3157F6"/>
          <w:sz w:val="112"/>
        </w:rPr>
        <w:t>K</w:t>
      </w:r>
    </w:p>
    <w:p>
      <w:pPr>
        <w:pStyle w:val="Title"/>
      </w:pPr>
      <w:r>
        <w:t>ESG Readiness Proposal</w:t>
      </w:r>
    </w:p>
    <w:p>
      <w:pPr>
        <w:pStyle w:val="Subtitle"/>
      </w:pPr>
      <w:r>
        <w:rPr>
          <w:color w:val="667085"/>
        </w:rPr>
        <w:t>Prepared for [Client name]</w:t>
      </w:r>
    </w:p>
    <w:p>
      <w:pPr>
        <w:spacing w:before="360"/>
      </w:pPr>
      <w:r>
        <w:rPr>
          <w:b/>
          <w:color w:val="0C9B8E"/>
          <w:sz w:val="30"/>
        </w:rPr>
        <w:t>Making ESG readiness achievable.</w:t>
      </w:r>
    </w:p>
    <w:p>
      <w:pPr>
        <w:pStyle w:val="Caption"/>
      </w:pPr>
      <w:r>
        <w:t>Version 1.0  •  July 2026</w:t>
      </w:r>
    </w:p>
    <w:p>
      <w:r>
        <w:br w:type="page"/>
      </w:r>
    </w:p>
    <w:p>
      <w:pPr>
        <w:pStyle w:val="Heading1"/>
      </w:pPr>
      <w:r>
        <w:t>Your practical path to ESG readiness</w:t>
      </w:r>
    </w:p>
    <w:p>
      <w:r>
        <w:t>[Client name] can use Kualifi to understand requirements, identify gaps, organise evidence and monitor actions in preparation for independent assessment.</w:t>
      </w:r>
    </w:p>
    <w:p>
      <w:pPr>
        <w:pStyle w:val="Heading1"/>
      </w:pPr>
      <w:r>
        <w:t>What Kualifi includes</w:t>
      </w:r>
    </w:p>
    <w:p>
      <w:pPr>
        <w:pStyle w:val="ListBullet"/>
      </w:pPr>
      <w:r>
        <w:t>Guided ESG self-assessment</w:t>
      </w:r>
    </w:p>
    <w:p>
      <w:pPr>
        <w:pStyle w:val="ListBullet"/>
      </w:pPr>
      <w:r>
        <w:t>Readiness scoring and gap analysis</w:t>
      </w:r>
    </w:p>
    <w:p>
      <w:pPr>
        <w:pStyle w:val="ListBullet"/>
      </w:pPr>
      <w:r>
        <w:t>Prioritised action plan</w:t>
      </w:r>
    </w:p>
    <w:p>
      <w:pPr>
        <w:pStyle w:val="ListBullet"/>
      </w:pPr>
      <w:r>
        <w:t>Evidence and document storage</w:t>
      </w:r>
    </w:p>
    <w:p>
      <w:pPr>
        <w:pStyle w:val="ListBullet"/>
      </w:pPr>
      <w:r>
        <w:t>Reminders and continuous monitoring</w:t>
      </w:r>
    </w:p>
    <w:p>
      <w:pPr>
        <w:pStyle w:val="ListBullet"/>
      </w:pPr>
      <w:r>
        <w:t>Progress and stakeholder reports</w:t>
      </w:r>
    </w:p>
    <w:p>
      <w:pPr>
        <w:pStyle w:val="ListBullet"/>
      </w:pPr>
      <w:r>
        <w:t>Optional expert advisory</w:t>
      </w:r>
    </w:p>
    <w:p>
      <w:pPr>
        <w:pStyle w:val="Heading1"/>
      </w:pPr>
      <w:r>
        <w:t>Recommended engagement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202"/>
        <w:gridCol w:w="3202"/>
        <w:gridCol w:w="3202"/>
      </w:tblGrid>
      <w:tr>
        <w:tc>
          <w:tcPr>
            <w:tcW w:type="dxa" w:w="3202"/>
            <w:shd w:fill="0B1739"/>
            <w:tcMar>
              <w:top w:w="110" w:type="dxa"/>
              <w:start w:w="130" w:type="dxa"/>
              <w:bottom w:w="110" w:type="dxa"/>
              <w:end w:w="130" w:type="dxa"/>
            </w:tcMar>
          </w:tcPr>
          <w:p>
            <w:r>
              <w:rPr>
                <w:b/>
                <w:color w:val="FFFFFF"/>
              </w:rPr>
              <w:t>Phase</w:t>
            </w:r>
          </w:p>
        </w:tc>
        <w:tc>
          <w:tcPr>
            <w:tcW w:type="dxa" w:w="3202"/>
            <w:shd w:fill="0B1739"/>
            <w:tcMar>
              <w:top w:w="110" w:type="dxa"/>
              <w:start w:w="130" w:type="dxa"/>
              <w:bottom w:w="110" w:type="dxa"/>
              <w:end w:w="130" w:type="dxa"/>
            </w:tcMar>
          </w:tcPr>
          <w:p>
            <w:r>
              <w:rPr>
                <w:b/>
                <w:color w:val="FFFFFF"/>
              </w:rPr>
              <w:t>Outcome</w:t>
            </w:r>
          </w:p>
        </w:tc>
        <w:tc>
          <w:tcPr>
            <w:tcW w:type="dxa" w:w="3202"/>
            <w:shd w:fill="0B1739"/>
            <w:tcMar>
              <w:top w:w="110" w:type="dxa"/>
              <w:start w:w="130" w:type="dxa"/>
              <w:bottom w:w="110" w:type="dxa"/>
              <w:end w:w="130" w:type="dxa"/>
            </w:tcMar>
          </w:tcPr>
          <w:p>
            <w:r>
              <w:rPr>
                <w:b/>
                <w:color w:val="FFFFFF"/>
              </w:rPr>
              <w:t>Timing</w:t>
            </w:r>
          </w:p>
        </w:tc>
      </w:tr>
      <w:tr>
        <w:tc>
          <w:tcPr>
            <w:tcW w:type="dxa" w:w="3202"/>
            <w:tcMar>
              <w:top w:w="110" w:type="dxa"/>
              <w:start w:w="130" w:type="dxa"/>
              <w:bottom w:w="110" w:type="dxa"/>
              <w:end w:w="130" w:type="dxa"/>
            </w:tcMar>
            <w:vAlign w:val="center"/>
          </w:tcPr>
          <w:p>
            <w:r>
              <w:t>Assess</w:t>
            </w:r>
          </w:p>
        </w:tc>
        <w:tc>
          <w:tcPr>
            <w:tcW w:type="dxa" w:w="3202"/>
            <w:tcMar>
              <w:top w:w="110" w:type="dxa"/>
              <w:start w:w="130" w:type="dxa"/>
              <w:bottom w:w="110" w:type="dxa"/>
              <w:end w:w="130" w:type="dxa"/>
            </w:tcMar>
            <w:vAlign w:val="center"/>
          </w:tcPr>
          <w:p>
            <w:r>
              <w:t>Baseline readiness score</w:t>
            </w:r>
          </w:p>
        </w:tc>
        <w:tc>
          <w:tcPr>
            <w:tcW w:type="dxa" w:w="3202"/>
            <w:tcMar>
              <w:top w:w="110" w:type="dxa"/>
              <w:start w:w="130" w:type="dxa"/>
              <w:bottom w:w="110" w:type="dxa"/>
              <w:end w:w="130" w:type="dxa"/>
            </w:tcMar>
            <w:vAlign w:val="center"/>
          </w:tcPr>
          <w:p>
            <w:r>
              <w:t>[Week 1]</w:t>
            </w:r>
          </w:p>
        </w:tc>
      </w:tr>
      <w:tr>
        <w:tc>
          <w:tcPr>
            <w:tcW w:type="dxa" w:w="3202"/>
            <w:tcMar>
              <w:top w:w="110" w:type="dxa"/>
              <w:start w:w="130" w:type="dxa"/>
              <w:bottom w:w="110" w:type="dxa"/>
              <w:end w:w="130" w:type="dxa"/>
            </w:tcMar>
            <w:vAlign w:val="center"/>
            <w:shd w:fill="EEF2FF"/>
          </w:tcPr>
          <w:p>
            <w:r>
              <w:t>Act</w:t>
            </w:r>
          </w:p>
        </w:tc>
        <w:tc>
          <w:tcPr>
            <w:tcW w:type="dxa" w:w="3202"/>
            <w:tcMar>
              <w:top w:w="110" w:type="dxa"/>
              <w:start w:w="130" w:type="dxa"/>
              <w:bottom w:w="110" w:type="dxa"/>
              <w:end w:w="130" w:type="dxa"/>
            </w:tcMar>
            <w:vAlign w:val="center"/>
            <w:shd w:fill="EEF2FF"/>
          </w:tcPr>
          <w:p>
            <w:r>
              <w:t>Close priority gaps and collect evidence</w:t>
            </w:r>
          </w:p>
        </w:tc>
        <w:tc>
          <w:tcPr>
            <w:tcW w:type="dxa" w:w="3202"/>
            <w:tcMar>
              <w:top w:w="110" w:type="dxa"/>
              <w:start w:w="130" w:type="dxa"/>
              <w:bottom w:w="110" w:type="dxa"/>
              <w:end w:w="130" w:type="dxa"/>
            </w:tcMar>
            <w:vAlign w:val="center"/>
            <w:shd w:fill="EEF2FF"/>
          </w:tcPr>
          <w:p>
            <w:r>
              <w:t>[Weeks 2–6]</w:t>
            </w:r>
          </w:p>
        </w:tc>
      </w:tr>
      <w:tr>
        <w:tc>
          <w:tcPr>
            <w:tcW w:type="dxa" w:w="3202"/>
            <w:tcMar>
              <w:top w:w="110" w:type="dxa"/>
              <w:start w:w="130" w:type="dxa"/>
              <w:bottom w:w="110" w:type="dxa"/>
              <w:end w:w="130" w:type="dxa"/>
            </w:tcMar>
            <w:vAlign w:val="center"/>
          </w:tcPr>
          <w:p>
            <w:r>
              <w:t>Monitor</w:t>
            </w:r>
          </w:p>
        </w:tc>
        <w:tc>
          <w:tcPr>
            <w:tcW w:type="dxa" w:w="3202"/>
            <w:tcMar>
              <w:top w:w="110" w:type="dxa"/>
              <w:start w:w="130" w:type="dxa"/>
              <w:bottom w:w="110" w:type="dxa"/>
              <w:end w:w="130" w:type="dxa"/>
            </w:tcMar>
            <w:vAlign w:val="center"/>
          </w:tcPr>
          <w:p>
            <w:r>
              <w:t>Maintain readiness and produce reports</w:t>
            </w:r>
          </w:p>
        </w:tc>
        <w:tc>
          <w:tcPr>
            <w:tcW w:type="dxa" w:w="3202"/>
            <w:tcMar>
              <w:top w:w="110" w:type="dxa"/>
              <w:start w:w="130" w:type="dxa"/>
              <w:bottom w:w="110" w:type="dxa"/>
              <w:end w:w="130" w:type="dxa"/>
            </w:tcMar>
            <w:vAlign w:val="center"/>
          </w:tcPr>
          <w:p>
            <w:r>
              <w:t>Ongoing</w:t>
            </w:r>
          </w:p>
        </w:tc>
      </w:tr>
    </w:tbl>
    <w:p>
      <w:pPr>
        <w:pStyle w:val="Heading1"/>
      </w:pPr>
      <w:r>
        <w:t>Investment</w:t>
      </w:r>
    </w:p>
    <w:p>
      <w:r>
        <w:t>[Insert package, fees and commercial terms.]</w:t>
      </w:r>
    </w:p>
    <w:p>
      <w:pPr>
        <w:pStyle w:val="Heading1"/>
      </w:pPr>
      <w:r>
        <w:t>Important note</w:t>
      </w:r>
    </w:p>
    <w:p>
      <w:r>
        <w:t>Kualifi is an independent ESG readiness platform. A Kualifi readiness score is not certification, and Kualifi does not award or guarantee certification; certification decisions rest solely with independent certification bodies.</w:t>
      </w:r>
    </w:p>
    <w:sectPr w:rsidR="00FC693F" w:rsidRPr="0006063C" w:rsidSect="00034616">
      <w:headerReference w:type="default" r:id="rId9"/>
      <w:footerReference w:type="default" r:id="rId10"/>
      <w:pgSz w:w="11909" w:h="16834"/>
      <w:pgMar w:top="1080" w:right="1152" w:bottom="1008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t xml:space="preserve">kualifi.com  •  </w:t>
    </w:r>
    <w:fldSimple w:instr="PAGE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Caption"/>
    </w:pPr>
    <w:r>
      <w:rPr>
        <w:color w:val="667085"/>
        <w:sz w:val="16"/>
      </w:rPr>
      <w:t>KUALIFI  /  MAKING ESG READINESS ACHIEVABLE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ptos" w:hAnsi="Aptos"/>
      <w:color w:val="17213B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6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0B1739"/>
      <w:sz w:val="4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2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3157F6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80"/>
      <w:outlineLvl w:val="2"/>
    </w:pPr>
    <w:rPr>
      <w:rFonts w:asciiTheme="majorHAnsi" w:eastAsiaTheme="majorEastAsia" w:hAnsiTheme="majorHAnsi" w:cstheme="majorBidi" w:ascii="Aptos Display" w:hAnsi="Aptos Display"/>
      <w:b/>
      <w:bCs/>
      <w:color w:val="0C9B8E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160" w:line="240" w:lineRule="auto" w:before="0"/>
      <w:contextualSpacing/>
    </w:pPr>
    <w:rPr>
      <w:rFonts w:asciiTheme="majorHAnsi" w:eastAsiaTheme="majorEastAsia" w:hAnsiTheme="majorHAnsi" w:cstheme="majorBidi" w:ascii="Aptos Display" w:hAnsi="Aptos Display"/>
      <w:b/>
      <w:color w:val="0B1739"/>
      <w:spacing w:val="5"/>
      <w:kern w:val="28"/>
      <w:sz w:val="6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