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3157F6"/>
          <w:sz w:val="22"/>
          <w:szCs w:val="22"/>
        </w:rPr>
        <w:t xml:space="preserve">KUALIFI</w:t>
      </w:r>
    </w:p>
    <w:p>
      <w:pPr>
        <w:spacing w:after="20"/>
      </w:pPr>
      <w:r>
        <w:rPr>
          <w:b/>
          <w:bCs/>
          <w:color w:val="0B1739"/>
          <w:sz w:val="48"/>
          <w:szCs w:val="48"/>
        </w:rPr>
        <w:t xml:space="preserve">Trademark Clearance Brief</w:t>
      </w:r>
    </w:p>
    <w:p>
      <w:pPr>
        <w:spacing w:after="60"/>
      </w:pPr>
      <w:r>
        <w:rPr>
          <w:color w:val="667085"/>
          <w:sz w:val="19"/>
          <w:szCs w:val="19"/>
        </w:rPr>
        <w:t xml:space="preserve">Prepared 30 July 2026 · For instruction of a registered trademark agent · Addresses finding 5 of the brand review</w:t>
      </w:r>
    </w:p>
    <w:p>
      <w:pPr>
        <w:pBdr>
          <w:bottom w:val="single" w:color="B7F34A" w:sz="18"/>
        </w:pBdr>
        <w:spacing w:after="180"/>
      </w:pPr>
    </w:p>
    <w:p>
      <w:pPr>
        <w:spacing w:after="110" w:line="270"/>
      </w:pPr>
      <w:r>
        <w:rPr>
          <w:b/>
          <w:bCs/>
          <w:color w:val="0B1739"/>
        </w:rPr>
        <w:t xml:space="preserve">Purpose. </w:t>
      </w:r>
      <w:r>
        <w:rPr>
          <w:color w:val="17213B"/>
        </w:rPr>
        <w:t xml:space="preserve">Before wider rollout of the Kualifi identity, commission a formal clearance search and registrability opinion. This brief defines the marks, jurisdictions, classes and known adjacencies so an agent can quote and execute quickly. It is an instruction document, not legal advice.</w:t>
      </w:r>
    </w:p>
    <w:p>
      <w:pPr>
        <w:spacing w:after="110" w:before="260"/>
      </w:pPr>
      <w:r>
        <w:rPr>
          <w:b/>
          <w:bCs/>
          <w:color w:val="0B1739"/>
          <w:sz w:val="30"/>
          <w:szCs w:val="30"/>
        </w:rPr>
        <w:t xml:space="preserve">1. Marks to clear</w:t>
      </w:r>
    </w:p>
    <w:p>
      <w:pPr>
        <w:pStyle w:val="ListParagraph"/>
        <w:numPr>
          <w:ilvl w:val="0"/>
          <w:numId w:val="1"/>
        </w:numPr>
        <w:spacing w:after="60"/>
      </w:pPr>
      <w:r>
        <w:rPr>
          <w:b/>
          <w:bCs/>
          <w:color w:val="0B1739"/>
        </w:rPr>
        <w:t xml:space="preserve">“Kualifi” — </w:t>
      </w:r>
      <w:r>
        <w:rPr>
          <w:color w:val="17213B"/>
        </w:rPr>
        <w:t xml:space="preserve">word mark, standard characters.</w:t>
      </w:r>
    </w:p>
    <w:p>
      <w:pPr>
        <w:pStyle w:val="ListParagraph"/>
        <w:numPr>
          <w:ilvl w:val="0"/>
          <w:numId w:val="1"/>
        </w:numPr>
        <w:spacing w:after="60"/>
      </w:pPr>
      <w:r>
        <w:rPr>
          <w:b/>
          <w:bCs/>
          <w:color w:val="0B1739"/>
        </w:rPr>
        <w:t xml:space="preserve">Device mark — </w:t>
      </w:r>
      <w:r>
        <w:rPr>
          <w:color w:val="17213B"/>
        </w:rPr>
        <w:t xml:space="preserve">the K-in-rounded-tile device with checkpoint dot (navy/white/lime), alone and as the combined lockup.</w:t>
      </w:r>
    </w:p>
    <w:p>
      <w:pPr>
        <w:pStyle w:val="ListParagraph"/>
        <w:numPr>
          <w:ilvl w:val="0"/>
          <w:numId w:val="1"/>
        </w:numPr>
        <w:spacing w:after="60"/>
      </w:pPr>
      <w:r>
        <w:rPr>
          <w:b/>
          <w:bCs/>
          <w:color w:val="0B1739"/>
        </w:rPr>
        <w:t xml:space="preserve">“Kualifi Ready” — </w:t>
      </w:r>
      <w:r>
        <w:rPr>
          <w:color w:val="17213B"/>
        </w:rPr>
        <w:t xml:space="preserve">badge phrase used as a quality/status indicator on customer materials — check both registrability and whether it should be filed as an ordinary mark rather than a certification mark, since Kualifi expressly does not certify.</w:t>
      </w:r>
    </w:p>
    <w:p>
      <w:pPr>
        <w:spacing w:after="110" w:before="260"/>
      </w:pPr>
      <w:r>
        <w:rPr>
          <w:b/>
          <w:bCs/>
          <w:color w:val="0B1739"/>
          <w:sz w:val="30"/>
          <w:szCs w:val="30"/>
        </w:rPr>
        <w:t xml:space="preserve">2. Jurisdictions and registers</w:t>
      </w:r>
    </w:p>
    <w:p>
      <w:pPr>
        <w:pStyle w:val="ListParagraph"/>
        <w:numPr>
          <w:ilvl w:val="0"/>
          <w:numId w:val="1"/>
        </w:numPr>
        <w:spacing w:after="60"/>
      </w:pPr>
      <w:r>
        <w:rPr>
          <w:b/>
          <w:bCs/>
          <w:color w:val="0B1739"/>
        </w:rPr>
        <w:t xml:space="preserve">Malaysia first — </w:t>
      </w:r>
      <w:r>
        <w:rPr>
          <w:color w:val="17213B"/>
        </w:rPr>
        <w:t xml:space="preserve">MyIPO (Intellectual Property Corporation of Malaysia) — registry search, absolute/relative grounds review under the Trademarks Act 2019.</w:t>
      </w:r>
    </w:p>
    <w:p>
      <w:pPr>
        <w:pStyle w:val="ListParagraph"/>
        <w:numPr>
          <w:ilvl w:val="0"/>
          <w:numId w:val="1"/>
        </w:numPr>
        <w:spacing w:after="60"/>
      </w:pPr>
      <w:r>
        <w:rPr>
          <w:b/>
          <w:bCs/>
          <w:color w:val="0B1739"/>
        </w:rPr>
        <w:t xml:space="preserve">Expansion — </w:t>
      </w:r>
      <w:r>
        <w:rPr>
          <w:color w:val="17213B"/>
        </w:rPr>
        <w:t xml:space="preserve">Madrid Protocol designations for expansion markets (Singapore, Indonesia named in the five-year direction of supporting multiple certifications and regional stakeholders) — agent to advise timing.</w:t>
      </w:r>
    </w:p>
    <w:p>
      <w:pPr>
        <w:pStyle w:val="ListParagraph"/>
        <w:numPr>
          <w:ilvl w:val="0"/>
          <w:numId w:val="1"/>
        </w:numPr>
        <w:spacing w:after="60"/>
      </w:pPr>
      <w:r>
        <w:rPr>
          <w:b/>
          <w:bCs/>
          <w:color w:val="0B1739"/>
        </w:rPr>
        <w:t xml:space="preserve">Unregistered use — </w:t>
      </w:r>
      <w:r>
        <w:rPr>
          <w:color w:val="17213B"/>
        </w:rPr>
        <w:t xml:space="preserve">common-law/web use: domains, app stores, social handles, company registries.</w:t>
      </w:r>
    </w:p>
    <w:p>
      <w:pPr>
        <w:spacing w:after="110" w:before="260"/>
      </w:pPr>
      <w:r>
        <w:rPr>
          <w:b/>
          <w:bCs/>
          <w:color w:val="0B1739"/>
          <w:sz w:val="30"/>
          <w:szCs w:val="30"/>
        </w:rPr>
        <w:t xml:space="preserve">3. Nice classes</w:t>
      </w:r>
    </w:p>
    <w:p>
      <w:pPr>
        <w:spacing w:after="110" w:line="270"/>
      </w:pPr>
      <w:r>
        <w:rPr>
          <w:color w:val="17213B"/>
        </w:rPr>
        <w:t xml:space="preserve">Class 9 (downloadable software), Class 42 (SaaS; platform services), Class 35 (business advisory, compliance consultancy, ESG reporting services). Consider Class 41 if training/education features ship. Agent to confirm specifications.</w:t>
      </w:r>
    </w:p>
    <w:p>
      <w:pPr>
        <w:spacing w:after="110" w:before="260"/>
      </w:pPr>
      <w:r>
        <w:rPr>
          <w:b/>
          <w:bCs/>
          <w:color w:val="0B1739"/>
          <w:sz w:val="30"/>
          <w:szCs w:val="30"/>
        </w:rPr>
        <w:t xml:space="preserve">4. Known adjacent marks (preliminary web scan — to be searched formally)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900"/>
        <w:gridCol w:w="2650"/>
        <w:gridCol w:w="4476"/>
      </w:tblGrid>
      <w:tr>
        <w:trPr>
          <w:tblHeader/>
        </w:trPr>
        <w:tc>
          <w:tcPr>
            <w:tcW w:type="dxa" w:w="1900"/>
            <w:shd w:fill="0B1739" w:color="auto" w:val="clear"/>
            <w:tcMar>
              <w:top w:type="dxa" w:w="60"/>
              <w:left w:type="dxa" w:w="90"/>
              <w:bottom w:type="dxa" w:w="60"/>
              <w:right w:type="dxa" w:w="90"/>
            </w:tcMar>
          </w:tcPr>
          <w:p>
            <w:r>
              <w:rPr>
                <w:b/>
                <w:bCs/>
                <w:color w:val="FFFFFF"/>
                <w:sz w:val="17"/>
                <w:szCs w:val="17"/>
              </w:rPr>
              <w:t xml:space="preserve">Name</w:t>
            </w:r>
          </w:p>
        </w:tc>
        <w:tc>
          <w:tcPr>
            <w:tcW w:type="dxa" w:w="2650"/>
            <w:shd w:fill="0B1739" w:color="auto" w:val="clear"/>
            <w:tcMar>
              <w:top w:type="dxa" w:w="60"/>
              <w:left w:type="dxa" w:w="90"/>
              <w:bottom w:type="dxa" w:w="60"/>
              <w:right w:type="dxa" w:w="90"/>
            </w:tcMar>
          </w:tcPr>
          <w:p>
            <w:r>
              <w:rPr>
                <w:b/>
                <w:bCs/>
                <w:color w:val="FFFFFF"/>
                <w:sz w:val="17"/>
                <w:szCs w:val="17"/>
              </w:rPr>
              <w:t xml:space="preserve">What it is</w:t>
            </w:r>
          </w:p>
        </w:tc>
        <w:tc>
          <w:tcPr>
            <w:tcW w:type="dxa" w:w="4476"/>
            <w:shd w:fill="0B1739" w:color="auto" w:val="clear"/>
            <w:tcMar>
              <w:top w:type="dxa" w:w="60"/>
              <w:left w:type="dxa" w:w="90"/>
              <w:bottom w:type="dxa" w:w="60"/>
              <w:right w:type="dxa" w:w="90"/>
            </w:tcMar>
          </w:tcPr>
          <w:p>
            <w:r>
              <w:rPr>
                <w:b/>
                <w:bCs/>
                <w:color w:val="FFFFFF"/>
                <w:sz w:val="17"/>
                <w:szCs w:val="17"/>
              </w:rPr>
              <w:t xml:space="preserve">Why it matters</w:t>
            </w:r>
          </w:p>
        </w:tc>
      </w:tr>
      <w:tr>
        <w:trPr>
          <w:tblHeader w:val="false"/>
        </w:trPr>
        <w:tc>
          <w:tcPr>
            <w:tcW w:type="dxa" w:w="1900"/>
            <w:tcMar>
              <w:top w:type="dxa" w:w="60"/>
              <w:left w:type="dxa" w:w="90"/>
              <w:bottom w:type="dxa" w:w="60"/>
              <w:right w:type="dxa" w:w="90"/>
            </w:tcMar>
          </w:tcPr>
          <w:p>
            <w:r>
              <w:rPr>
                <w:b w:val="false"/>
                <w:bCs w:val="false"/>
                <w:color w:val="17213B"/>
                <w:sz w:val="17"/>
                <w:szCs w:val="17"/>
              </w:rPr>
              <w:t xml:space="preserve">Qualifi Ltd</w:t>
            </w:r>
          </w:p>
        </w:tc>
        <w:tc>
          <w:tcPr>
            <w:tcW w:type="dxa" w:w="2650"/>
            <w:tcMar>
              <w:top w:type="dxa" w:w="60"/>
              <w:left w:type="dxa" w:w="90"/>
              <w:bottom w:type="dxa" w:w="60"/>
              <w:right w:type="dxa" w:w="90"/>
            </w:tcMar>
          </w:tcPr>
          <w:p>
            <w:r>
              <w:rPr>
                <w:b w:val="false"/>
                <w:bCs w:val="false"/>
                <w:color w:val="17213B"/>
                <w:sz w:val="17"/>
                <w:szCs w:val="17"/>
              </w:rPr>
              <w:t xml:space="preserve">UK awarding organisation regulated by Ofqual (ref. RN5160), qualifi.net</w:t>
            </w:r>
          </w:p>
        </w:tc>
        <w:tc>
          <w:tcPr>
            <w:tcW w:type="dxa" w:w="4476"/>
            <w:tcMar>
              <w:top w:type="dxa" w:w="60"/>
              <w:left w:type="dxa" w:w="90"/>
              <w:bottom w:type="dxa" w:w="60"/>
              <w:right w:type="dxa" w:w="90"/>
            </w:tcMar>
          </w:tcPr>
          <w:p>
            <w:r>
              <w:rPr>
                <w:b w:val="false"/>
                <w:bCs w:val="false"/>
                <w:color w:val="17213B"/>
                <w:sz w:val="17"/>
                <w:szCs w:val="17"/>
              </w:rPr>
              <w:t xml:space="preserve">Phonetically identical; operates in qualifications/credentialing — the closest conceptual neighbour to a readiness-status brand. Priority check.</w:t>
            </w:r>
          </w:p>
        </w:tc>
      </w:tr>
      <w:tr>
        <w:trPr>
          <w:tblHeader w:val="false"/>
        </w:trPr>
        <w:tc>
          <w:tcPr>
            <w:tcW w:type="dxa" w:w="1900"/>
            <w:tcMar>
              <w:top w:type="dxa" w:w="60"/>
              <w:left w:type="dxa" w:w="90"/>
              <w:bottom w:type="dxa" w:w="60"/>
              <w:right w:type="dxa" w:w="90"/>
            </w:tcMar>
          </w:tcPr>
          <w:p>
            <w:r>
              <w:rPr>
                <w:b w:val="false"/>
                <w:bCs w:val="false"/>
                <w:color w:val="17213B"/>
                <w:sz w:val="17"/>
                <w:szCs w:val="17"/>
              </w:rPr>
              <w:t xml:space="preserve">Qualifio</w:t>
            </w:r>
          </w:p>
        </w:tc>
        <w:tc>
          <w:tcPr>
            <w:tcW w:type="dxa" w:w="2650"/>
            <w:tcMar>
              <w:top w:type="dxa" w:w="60"/>
              <w:left w:type="dxa" w:w="90"/>
              <w:bottom w:type="dxa" w:w="60"/>
              <w:right w:type="dxa" w:w="90"/>
            </w:tcMar>
          </w:tcPr>
          <w:p>
            <w:r>
              <w:rPr>
                <w:b w:val="false"/>
                <w:bCs w:val="false"/>
                <w:color w:val="17213B"/>
                <w:sz w:val="17"/>
                <w:szCs w:val="17"/>
              </w:rPr>
              <w:t xml:space="preserve">Marketing/engagement SaaS platform</w:t>
            </w:r>
          </w:p>
        </w:tc>
        <w:tc>
          <w:tcPr>
            <w:tcW w:type="dxa" w:w="4476"/>
            <w:tcMar>
              <w:top w:type="dxa" w:w="60"/>
              <w:left w:type="dxa" w:w="90"/>
              <w:bottom w:type="dxa" w:w="60"/>
              <w:right w:type="dxa" w:w="90"/>
            </w:tcMar>
          </w:tcPr>
          <w:p>
            <w:r>
              <w:rPr>
                <w:b w:val="false"/>
                <w:bCs w:val="false"/>
                <w:color w:val="17213B"/>
                <w:sz w:val="17"/>
                <w:szCs w:val="17"/>
              </w:rPr>
              <w:t xml:space="preserve">Similar prefix and SaaS category.</w:t>
            </w:r>
          </w:p>
        </w:tc>
      </w:tr>
      <w:tr>
        <w:trPr>
          <w:tblHeader w:val="false"/>
        </w:trPr>
        <w:tc>
          <w:tcPr>
            <w:tcW w:type="dxa" w:w="1900"/>
            <w:tcMar>
              <w:top w:type="dxa" w:w="60"/>
              <w:left w:type="dxa" w:w="90"/>
              <w:bottom w:type="dxa" w:w="60"/>
              <w:right w:type="dxa" w:w="90"/>
            </w:tcMar>
          </w:tcPr>
          <w:p>
            <w:r>
              <w:rPr>
                <w:b w:val="false"/>
                <w:bCs w:val="false"/>
                <w:color w:val="17213B"/>
                <w:sz w:val="17"/>
                <w:szCs w:val="17"/>
              </w:rPr>
              <w:t xml:space="preserve">Kuali / Kuali Foundation</w:t>
            </w:r>
          </w:p>
        </w:tc>
        <w:tc>
          <w:tcPr>
            <w:tcW w:type="dxa" w:w="2650"/>
            <w:tcMar>
              <w:top w:type="dxa" w:w="60"/>
              <w:left w:type="dxa" w:w="90"/>
              <w:bottom w:type="dxa" w:w="60"/>
              <w:right w:type="dxa" w:w="90"/>
            </w:tcMar>
          </w:tcPr>
          <w:p>
            <w:r>
              <w:rPr>
                <w:b w:val="false"/>
                <w:bCs w:val="false"/>
                <w:color w:val="17213B"/>
                <w:sz w:val="17"/>
                <w:szCs w:val="17"/>
              </w:rPr>
              <w:t xml:space="preserve">Higher-education software (kuali.co)</w:t>
            </w:r>
          </w:p>
        </w:tc>
        <w:tc>
          <w:tcPr>
            <w:tcW w:type="dxa" w:w="4476"/>
            <w:tcMar>
              <w:top w:type="dxa" w:w="60"/>
              <w:left w:type="dxa" w:w="90"/>
              <w:bottom w:type="dxa" w:w="60"/>
              <w:right w:type="dxa" w:w="90"/>
            </w:tcMar>
          </w:tcPr>
          <w:p>
            <w:r>
              <w:rPr>
                <w:b w:val="false"/>
                <w:bCs w:val="false"/>
                <w:color w:val="17213B"/>
                <w:sz w:val="17"/>
                <w:szCs w:val="17"/>
              </w:rPr>
              <w:t xml:space="preserve">Visually close spelling with K; software classes.</w:t>
            </w:r>
          </w:p>
        </w:tc>
      </w:tr>
      <w:tr>
        <w:trPr>
          <w:tblHeader w:val="false"/>
        </w:trPr>
        <w:tc>
          <w:tcPr>
            <w:tcW w:type="dxa" w:w="1900"/>
            <w:tcMar>
              <w:top w:type="dxa" w:w="60"/>
              <w:left w:type="dxa" w:w="90"/>
              <w:bottom w:type="dxa" w:w="60"/>
              <w:right w:type="dxa" w:w="90"/>
            </w:tcMar>
          </w:tcPr>
          <w:p>
            <w:r>
              <w:rPr>
                <w:b w:val="false"/>
                <w:bCs w:val="false"/>
                <w:color w:val="17213B"/>
                <w:sz w:val="17"/>
                <w:szCs w:val="17"/>
              </w:rPr>
              <w:t xml:space="preserve">QualiSystems</w:t>
            </w:r>
          </w:p>
        </w:tc>
        <w:tc>
          <w:tcPr>
            <w:tcW w:type="dxa" w:w="2650"/>
            <w:tcMar>
              <w:top w:type="dxa" w:w="60"/>
              <w:left w:type="dxa" w:w="90"/>
              <w:bottom w:type="dxa" w:w="60"/>
              <w:right w:type="dxa" w:w="90"/>
            </w:tcMar>
          </w:tcPr>
          <w:p>
            <w:r>
              <w:rPr>
                <w:b w:val="false"/>
                <w:bCs w:val="false"/>
                <w:color w:val="17213B"/>
                <w:sz w:val="17"/>
                <w:szCs w:val="17"/>
              </w:rPr>
              <w:t xml:space="preserve">Software company</w:t>
            </w:r>
          </w:p>
        </w:tc>
        <w:tc>
          <w:tcPr>
            <w:tcW w:type="dxa" w:w="4476"/>
            <w:tcMar>
              <w:top w:type="dxa" w:w="60"/>
              <w:left w:type="dxa" w:w="90"/>
              <w:bottom w:type="dxa" w:w="60"/>
              <w:right w:type="dxa" w:w="90"/>
            </w:tcMar>
          </w:tcPr>
          <w:p>
            <w:r>
              <w:rPr>
                <w:b w:val="false"/>
                <w:bCs w:val="false"/>
                <w:color w:val="17213B"/>
                <w:sz w:val="17"/>
                <w:szCs w:val="17"/>
              </w:rPr>
              <w:t xml:space="preserve">Same “Quali-” root in software.</w:t>
            </w:r>
          </w:p>
        </w:tc>
      </w:tr>
    </w:tbl>
    <w:p>
      <w:pPr>
        <w:spacing w:after="110" w:before="260"/>
      </w:pPr>
      <w:r>
        <w:rPr>
          <w:b/>
          <w:bCs/>
          <w:color w:val="0B1739"/>
          <w:sz w:val="30"/>
          <w:szCs w:val="30"/>
        </w:rPr>
        <w:t xml:space="preserve">5. Specific risks for the opinion to address</w:t>
      </w:r>
    </w:p>
    <w:p>
      <w:pPr>
        <w:pStyle w:val="ListParagraph"/>
        <w:numPr>
          <w:ilvl w:val="0"/>
          <w:numId w:val="1"/>
        </w:numPr>
        <w:spacing w:after="60"/>
      </w:pPr>
      <w:r>
        <w:rPr>
          <w:b/>
          <w:bCs/>
          <w:color w:val="0B1739"/>
        </w:rPr>
        <w:t xml:space="preserve">Descriptiveness — </w:t>
      </w:r>
      <w:r>
        <w:rPr>
          <w:color w:val="17213B"/>
        </w:rPr>
        <w:t xml:space="preserve">“Kualifi” is phonetically “qualify” for a product about qualifying/readiness — assess refusal risk on absolute grounds and the strength of the mark if registered.</w:t>
      </w:r>
    </w:p>
    <w:p>
      <w:pPr>
        <w:pStyle w:val="ListParagraph"/>
        <w:numPr>
          <w:ilvl w:val="0"/>
          <w:numId w:val="1"/>
        </w:numPr>
        <w:spacing w:after="60"/>
      </w:pPr>
      <w:r>
        <w:rPr>
          <w:b/>
          <w:bCs/>
          <w:color w:val="0B1739"/>
        </w:rPr>
        <w:t xml:space="preserve">Relative grounds — </w:t>
      </w:r>
      <w:r>
        <w:rPr>
          <w:color w:val="17213B"/>
        </w:rPr>
        <w:t xml:space="preserve">confusion with awarding/certification bodies (Qualifi Ltd) in a certification-adjacent market; also verify no conflict with SIRIM marks in the badge context.</w:t>
      </w:r>
    </w:p>
    <w:p>
      <w:pPr>
        <w:pStyle w:val="ListParagraph"/>
        <w:numPr>
          <w:ilvl w:val="0"/>
          <w:numId w:val="1"/>
        </w:numPr>
        <w:spacing w:after="60"/>
      </w:pPr>
      <w:r>
        <w:rPr>
          <w:b/>
          <w:bCs/>
          <w:color w:val="0B1739"/>
        </w:rPr>
        <w:t xml:space="preserve">“Kualifi Ready” — </w:t>
      </w:r>
      <w:r>
        <w:rPr>
          <w:color w:val="17213B"/>
        </w:rPr>
        <w:t xml:space="preserve">“Ready” is descriptive; protection will rest on the whole phrase/device. Confirm the badge never needs certification-mark treatment given the express “not certification” positioning.</w:t>
      </w:r>
    </w:p>
    <w:p>
      <w:pPr>
        <w:pStyle w:val="ListParagraph"/>
        <w:numPr>
          <w:ilvl w:val="0"/>
          <w:numId w:val="1"/>
        </w:numPr>
        <w:spacing w:after="60"/>
      </w:pPr>
      <w:r>
        <w:rPr>
          <w:b/>
          <w:bCs/>
          <w:color w:val="0B1739"/>
        </w:rPr>
        <w:t xml:space="preserve">Visual search — </w:t>
      </w:r>
      <w:r>
        <w:rPr>
          <w:color w:val="17213B"/>
        </w:rPr>
        <w:t xml:space="preserve">search K-device marks in classes 9/35/41/42, not only word marks — the rounded-tile K genre is crowded.</w:t>
      </w:r>
    </w:p>
    <w:p>
      <w:pPr>
        <w:spacing w:after="110" w:before="260"/>
      </w:pPr>
      <w:r>
        <w:rPr>
          <w:b/>
          <w:bCs/>
          <w:color w:val="0B1739"/>
          <w:sz w:val="30"/>
          <w:szCs w:val="30"/>
        </w:rPr>
        <w:t xml:space="preserve">6. Questions for the agent</w:t>
      </w:r>
    </w:p>
    <w:p>
      <w:pPr>
        <w:spacing w:after="110" w:line="270"/>
      </w:pPr>
      <w:r>
        <w:rPr>
          <w:color w:val="17213B"/>
        </w:rPr>
        <w:t xml:space="preserve">(a) Registrability opinion for each mark and class, Malaysia first. (b) Filing order and whether to file word and device separately or combined. (c) Coexistence risk with Qualifi Ltd if Kualifi expands into training. (d) Madrid timing versus direct national filings. (e) Watch-service recommendation post-filing.</w:t>
      </w:r>
    </w:p>
    <w:p>
      <w:pPr>
        <w:spacing w:after="110" w:before="260"/>
      </w:pPr>
      <w:r>
        <w:rPr>
          <w:b/>
          <w:bCs/>
          <w:color w:val="0B1739"/>
          <w:sz w:val="30"/>
          <w:szCs w:val="30"/>
        </w:rPr>
        <w:t xml:space="preserve">7. Next steps</w:t>
      </w:r>
    </w:p>
    <w:p>
      <w:pPr>
        <w:spacing w:after="110" w:line="270"/>
      </w:pPr>
      <w:r>
        <w:rPr>
          <w:color w:val="17213B"/>
        </w:rPr>
        <w:t xml:space="preserve">1. Engage a MyIPO-registered trademark agent and commission the search against this brief. 2. Hold any paid brand launch spend until the opinion returns. 3. Record the outcome and the chosen filing strategy in the brand guidelines governance section.</w:t>
      </w:r>
    </w:p>
    <w:p>
      <w:pPr>
        <w:spacing w:before="140"/>
      </w:pPr>
      <w:r>
        <w:rPr>
          <w:i/>
          <w:iCs/>
          <w:color w:val="667085"/>
          <w:sz w:val="18"/>
          <w:szCs w:val="18"/>
        </w:rPr>
        <w:t xml:space="preserve">Caveat: prepared as an instruction brief from a preliminary web scan; not legal advice. Registry states change — the formal search is the source of truth.</w:t>
      </w:r>
    </w:p>
    <w:sectPr>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cs="Aptos" w:eastAsia="Aptos" w:hAnsi="Aptos"/>
        <w:color w:val="17213B"/>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2026-07-30T01:48:11.728Z</dcterms:created>
  <dcterms:modified xsi:type="dcterms:W3CDTF">2026-07-30T01:48:11.750Z</dcterms:modified>
</cp:coreProperties>
</file>

<file path=docProps/custom.xml><?xml version="1.0" encoding="utf-8"?>
<Properties xmlns="http://schemas.openxmlformats.org/officeDocument/2006/custom-properties" xmlns:vt="http://schemas.openxmlformats.org/officeDocument/2006/docPropsVTypes"/>
</file>